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3E149" w14:textId="77777777" w:rsidR="00B24833" w:rsidRPr="008612F0" w:rsidRDefault="00B24833" w:rsidP="003568DF">
      <w:pPr>
        <w:jc w:val="both"/>
        <w:rPr>
          <w:b/>
          <w:i/>
          <w:highlight w:val="lightGray"/>
        </w:rPr>
      </w:pP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48"/>
      </w:tblGrid>
      <w:tr w:rsidR="009A1955" w:rsidRPr="008612F0" w14:paraId="7FDA1EB6" w14:textId="77777777" w:rsidTr="0010753C">
        <w:trPr>
          <w:trHeight w:val="993"/>
          <w:jc w:val="center"/>
        </w:trPr>
        <w:tc>
          <w:tcPr>
            <w:tcW w:w="9648" w:type="dxa"/>
            <w:vAlign w:val="center"/>
          </w:tcPr>
          <w:p w14:paraId="06766558" w14:textId="77777777" w:rsidR="009A1955" w:rsidRPr="008612F0" w:rsidRDefault="009A1955" w:rsidP="009A1955">
            <w:pPr>
              <w:jc w:val="center"/>
              <w:rPr>
                <w:rFonts w:asciiTheme="minorHAnsi" w:hAnsiTheme="minorHAnsi" w:cs="Book Antiqua"/>
                <w:sz w:val="22"/>
                <w:szCs w:val="22"/>
              </w:rPr>
            </w:pPr>
          </w:p>
          <w:p w14:paraId="071AA0D0" w14:textId="77777777" w:rsidR="009A1955" w:rsidRPr="008612F0" w:rsidRDefault="009A1955" w:rsidP="009A1955">
            <w:pPr>
              <w:jc w:val="center"/>
              <w:rPr>
                <w:rFonts w:asciiTheme="minorHAnsi" w:hAnsiTheme="minorHAnsi" w:cs="Book Antiqua"/>
                <w:sz w:val="22"/>
                <w:szCs w:val="22"/>
              </w:rPr>
            </w:pPr>
          </w:p>
          <w:p w14:paraId="2397F5C0" w14:textId="77777777" w:rsidR="009A1955" w:rsidRPr="008612F0" w:rsidRDefault="009A1955" w:rsidP="009A1955">
            <w:pPr>
              <w:jc w:val="center"/>
              <w:rPr>
                <w:rFonts w:asciiTheme="minorHAnsi" w:hAnsiTheme="minorHAnsi" w:cs="Book Antiqua"/>
                <w:sz w:val="22"/>
                <w:szCs w:val="22"/>
              </w:rPr>
            </w:pPr>
          </w:p>
          <w:p w14:paraId="17BB8458" w14:textId="77777777" w:rsidR="009A1955" w:rsidRPr="008612F0" w:rsidRDefault="009A1955" w:rsidP="009A1955">
            <w:pPr>
              <w:tabs>
                <w:tab w:val="left" w:pos="9162"/>
              </w:tabs>
              <w:ind w:left="-630"/>
              <w:jc w:val="center"/>
              <w:rPr>
                <w:rFonts w:asciiTheme="minorHAnsi" w:hAnsiTheme="minorHAnsi" w:cs="Book Antiqua"/>
                <w:b/>
                <w:bCs/>
                <w:sz w:val="22"/>
                <w:szCs w:val="22"/>
              </w:rPr>
            </w:pPr>
          </w:p>
          <w:p w14:paraId="0FD0E349" w14:textId="77777777" w:rsidR="00EC41A1" w:rsidRPr="008612F0" w:rsidRDefault="00EC41A1" w:rsidP="00EC41A1">
            <w:pPr>
              <w:spacing w:line="315" w:lineRule="atLeast"/>
              <w:jc w:val="center"/>
              <w:textAlignment w:val="baseline"/>
              <w:rPr>
                <w:rFonts w:asciiTheme="minorHAnsi" w:hAnsiTheme="minorHAnsi"/>
                <w:sz w:val="22"/>
                <w:szCs w:val="22"/>
              </w:rPr>
            </w:pPr>
            <w:r w:rsidRPr="008612F0">
              <w:rPr>
                <w:rFonts w:eastAsia="Calibri"/>
                <w:noProof/>
                <w:lang w:val="en-US" w:eastAsia="en-US"/>
              </w:rPr>
              <w:drawing>
                <wp:anchor distT="0" distB="0" distL="114300" distR="114300" simplePos="0" relativeHeight="251660288" behindDoc="1" locked="0" layoutInCell="1" allowOverlap="1" wp14:anchorId="7B19A21E" wp14:editId="216D5B6D">
                  <wp:simplePos x="0" y="0"/>
                  <wp:positionH relativeFrom="column">
                    <wp:posOffset>2623406</wp:posOffset>
                  </wp:positionH>
                  <wp:positionV relativeFrom="paragraph">
                    <wp:posOffset>-469734</wp:posOffset>
                  </wp:positionV>
                  <wp:extent cx="588396" cy="651693"/>
                  <wp:effectExtent l="0" t="0" r="254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396" cy="6516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AC2DA7" w14:textId="77777777" w:rsidR="00EC41A1" w:rsidRPr="008612F0" w:rsidRDefault="00EC41A1" w:rsidP="00EC41A1">
            <w:pPr>
              <w:spacing w:line="315" w:lineRule="atLeast"/>
              <w:jc w:val="center"/>
              <w:textAlignment w:val="baseline"/>
              <w:rPr>
                <w:rFonts w:asciiTheme="minorHAnsi" w:hAnsiTheme="minorHAnsi"/>
                <w:sz w:val="22"/>
                <w:szCs w:val="22"/>
              </w:rPr>
            </w:pPr>
            <w:r w:rsidRPr="008612F0">
              <w:rPr>
                <w:rFonts w:asciiTheme="minorHAnsi" w:hAnsiTheme="minorHAnsi"/>
                <w:sz w:val="22"/>
                <w:szCs w:val="22"/>
              </w:rPr>
              <w:t xml:space="preserve">Republika e Kosovës </w:t>
            </w:r>
          </w:p>
          <w:p w14:paraId="77603A1A" w14:textId="77777777" w:rsidR="00EC41A1" w:rsidRPr="008612F0" w:rsidRDefault="00EC41A1" w:rsidP="00EC41A1">
            <w:pPr>
              <w:spacing w:line="315" w:lineRule="atLeast"/>
              <w:jc w:val="center"/>
              <w:textAlignment w:val="baseline"/>
              <w:rPr>
                <w:rFonts w:asciiTheme="minorHAnsi" w:hAnsiTheme="minorHAnsi"/>
                <w:sz w:val="22"/>
                <w:szCs w:val="22"/>
              </w:rPr>
            </w:pPr>
            <w:r w:rsidRPr="008612F0">
              <w:rPr>
                <w:rFonts w:asciiTheme="minorHAnsi" w:hAnsiTheme="minorHAnsi"/>
                <w:sz w:val="22"/>
                <w:szCs w:val="22"/>
              </w:rPr>
              <w:t xml:space="preserve">Pепублика Kосово / Republic of Kosovo </w:t>
            </w:r>
          </w:p>
          <w:p w14:paraId="41A200DD" w14:textId="77777777" w:rsidR="00EC41A1" w:rsidRPr="008612F0" w:rsidRDefault="00EC41A1" w:rsidP="00EC41A1">
            <w:pPr>
              <w:spacing w:line="315" w:lineRule="atLeast"/>
              <w:jc w:val="center"/>
              <w:textAlignment w:val="baseline"/>
              <w:rPr>
                <w:rFonts w:asciiTheme="minorHAnsi" w:hAnsiTheme="minorHAnsi"/>
                <w:sz w:val="22"/>
                <w:szCs w:val="22"/>
              </w:rPr>
            </w:pPr>
            <w:r w:rsidRPr="008612F0">
              <w:rPr>
                <w:rFonts w:asciiTheme="minorHAnsi" w:hAnsiTheme="minorHAnsi"/>
                <w:sz w:val="22"/>
                <w:szCs w:val="22"/>
              </w:rPr>
              <w:t xml:space="preserve">Qeveria / Bлада/ Government </w:t>
            </w:r>
          </w:p>
          <w:p w14:paraId="7F07FD37" w14:textId="77777777" w:rsidR="00EC41A1" w:rsidRPr="008612F0" w:rsidRDefault="00EC41A1" w:rsidP="00EC41A1">
            <w:pPr>
              <w:spacing w:line="315" w:lineRule="atLeast"/>
              <w:jc w:val="center"/>
              <w:textAlignment w:val="baseline"/>
              <w:rPr>
                <w:rFonts w:asciiTheme="minorHAnsi" w:hAnsiTheme="minorHAnsi"/>
                <w:sz w:val="22"/>
                <w:szCs w:val="22"/>
              </w:rPr>
            </w:pPr>
            <w:r w:rsidRPr="008612F0">
              <w:rPr>
                <w:rFonts w:asciiTheme="minorHAnsi" w:hAnsiTheme="minorHAnsi"/>
                <w:sz w:val="22"/>
                <w:szCs w:val="22"/>
              </w:rPr>
              <w:t>Ministria për Komunitete dhe Kthim / Mинистарство за заједнице и повратак /</w:t>
            </w:r>
          </w:p>
          <w:p w14:paraId="708A2C80" w14:textId="77777777" w:rsidR="009A1955" w:rsidRPr="008612F0" w:rsidRDefault="00EC41A1" w:rsidP="00EC41A1">
            <w:pPr>
              <w:jc w:val="center"/>
              <w:rPr>
                <w:rFonts w:asciiTheme="minorHAnsi" w:hAnsiTheme="minorHAnsi" w:cs="Book Antiqua"/>
                <w:sz w:val="22"/>
                <w:szCs w:val="22"/>
              </w:rPr>
            </w:pPr>
            <w:r w:rsidRPr="008612F0">
              <w:rPr>
                <w:rFonts w:asciiTheme="minorHAnsi" w:hAnsiTheme="minorHAnsi"/>
                <w:sz w:val="22"/>
                <w:szCs w:val="22"/>
              </w:rPr>
              <w:t xml:space="preserve"> Ministry of Communities and Return</w:t>
            </w:r>
          </w:p>
        </w:tc>
      </w:tr>
    </w:tbl>
    <w:p w14:paraId="6DD921D4" w14:textId="77777777" w:rsidR="001A7984" w:rsidRDefault="003568DF" w:rsidP="001A7984">
      <w:pPr>
        <w:autoSpaceDE w:val="0"/>
        <w:autoSpaceDN w:val="0"/>
        <w:adjustRightInd w:val="0"/>
        <w:rPr>
          <w:rFonts w:ascii="Book Antiqua" w:hAnsi="Book Antiqua" w:cs="Calibri"/>
          <w:color w:val="000000"/>
          <w:lang w:val="sr-Latn-RS"/>
        </w:rPr>
      </w:pPr>
      <w:r w:rsidRPr="008612F0">
        <w:rPr>
          <w:b/>
        </w:rPr>
        <w:br/>
      </w:r>
    </w:p>
    <w:p w14:paraId="3DF3A9A4" w14:textId="258BB93F" w:rsidR="001A7984" w:rsidRDefault="00855631" w:rsidP="001A7984">
      <w:pPr>
        <w:autoSpaceDE w:val="0"/>
        <w:autoSpaceDN w:val="0"/>
        <w:adjustRightInd w:val="0"/>
        <w:spacing w:after="300"/>
        <w:jc w:val="center"/>
        <w:rPr>
          <w:rFonts w:ascii="Book Antiqua" w:eastAsiaTheme="minorHAnsi" w:hAnsi="Book Antiqua" w:cs="BookAntiqua,Bold"/>
          <w:b/>
          <w:bCs/>
          <w:sz w:val="22"/>
          <w:szCs w:val="22"/>
          <w:lang w:val="sr-Latn-CS" w:eastAsia="en-US"/>
        </w:rPr>
      </w:pPr>
      <w:r w:rsidRPr="00855631">
        <w:rPr>
          <w:rFonts w:ascii="Book Antiqua" w:eastAsiaTheme="minorHAnsi" w:hAnsi="Book Antiqua" w:cs="BookAntiqua,Bold"/>
          <w:b/>
          <w:bCs/>
          <w:sz w:val="22"/>
          <w:szCs w:val="22"/>
          <w:lang w:val="sr-Latn-CS" w:eastAsia="en-US"/>
        </w:rPr>
        <w:t>THIRRJE PUBLIKE PËR FINANCIMIN E AKTIVITETEVE TË SEKTORIT TË OJF-VE ME QËLLIM RRITJEN E NIVELIT TË PUNËSIMIT TË ANËTARËVE TË KOMUNITETEVE JO-SHUMICË</w:t>
      </w:r>
      <w:r w:rsidR="001A7984">
        <w:rPr>
          <w:rFonts w:ascii="Book Antiqua" w:eastAsiaTheme="minorHAnsi" w:hAnsi="Book Antiqua" w:cs="BookAntiqua,Bold"/>
          <w:b/>
          <w:bCs/>
          <w:sz w:val="22"/>
          <w:szCs w:val="22"/>
          <w:lang w:val="sr-Latn-CS" w:eastAsia="en-US"/>
        </w:rPr>
        <w:t xml:space="preserve"> </w:t>
      </w:r>
    </w:p>
    <w:p w14:paraId="47BFDA82" w14:textId="77777777" w:rsidR="008D52C8" w:rsidRPr="008612F0" w:rsidRDefault="008D52C8" w:rsidP="008D52C8">
      <w:pPr>
        <w:jc w:val="center"/>
        <w:rPr>
          <w:i/>
          <w:sz w:val="28"/>
          <w:szCs w:val="28"/>
          <w:lang w:eastAsia="sq-AL"/>
        </w:rPr>
      </w:pPr>
    </w:p>
    <w:p w14:paraId="262E9694" w14:textId="77777777" w:rsidR="003568DF" w:rsidRPr="008612F0" w:rsidRDefault="003568DF" w:rsidP="00A06FE4">
      <w:pPr>
        <w:rPr>
          <w:color w:val="0070C0"/>
        </w:rPr>
      </w:pPr>
    </w:p>
    <w:p w14:paraId="64536E13" w14:textId="083092CA" w:rsidR="00AB4126" w:rsidRPr="00CD22AB" w:rsidRDefault="00526858" w:rsidP="00AB4126">
      <w:pPr>
        <w:jc w:val="right"/>
      </w:pPr>
      <w:r w:rsidRPr="00526858">
        <w:t>Fushë Kosovë</w:t>
      </w:r>
    </w:p>
    <w:p w14:paraId="6FB2C596" w14:textId="7C74FA98" w:rsidR="00AB4126" w:rsidRPr="00CD22AB" w:rsidRDefault="00086244" w:rsidP="001A7984">
      <w:pPr>
        <w:jc w:val="right"/>
      </w:pPr>
      <w:r>
        <w:t>2</w:t>
      </w:r>
      <w:r w:rsidR="001A33B0">
        <w:t>8</w:t>
      </w:r>
      <w:r>
        <w:t>.10</w:t>
      </w:r>
      <w:r w:rsidR="00E36B53">
        <w:t>.2025</w:t>
      </w:r>
    </w:p>
    <w:p w14:paraId="385300E8" w14:textId="3612D2A1" w:rsidR="001A7984" w:rsidRPr="00CD22AB" w:rsidRDefault="00055590" w:rsidP="00CD22AB">
      <w:pPr>
        <w:spacing w:before="60" w:after="60"/>
        <w:jc w:val="both"/>
        <w:rPr>
          <w:rFonts w:ascii="Book Antiqua" w:hAnsi="Book Antiqua"/>
          <w:color w:val="0D0D0D"/>
          <w:sz w:val="22"/>
          <w:szCs w:val="22"/>
          <w:lang w:val="sr-Latn-RS"/>
        </w:rPr>
      </w:pPr>
      <w:r w:rsidRPr="00055590">
        <w:rPr>
          <w:rFonts w:ascii="Book Antiqua" w:hAnsi="Book Antiqua"/>
          <w:sz w:val="22"/>
          <w:szCs w:val="22"/>
          <w:lang w:val="sr-Latn-CS"/>
        </w:rPr>
        <w:t>Kjo thirrje publike për propozime të draftit nga organizatat e shoqërisë civile synon të punësojnë, të angazhohet në praktikë dhe të organizojë trajnime me fokus të veçantë tek gratë, të rinjtë, personat me aftësi të kufizuara, si dhe grupet e tjera të margjinalizuara brenda komuniteteve jo-shumicë që jetojnë në Kosovë.</w:t>
      </w:r>
      <w:r w:rsidR="003E5C1A">
        <w:rPr>
          <w:rFonts w:ascii="Book Antiqua" w:hAnsi="Book Antiqua"/>
          <w:sz w:val="22"/>
          <w:szCs w:val="22"/>
        </w:rPr>
        <w:t>.</w:t>
      </w:r>
    </w:p>
    <w:p w14:paraId="63569008" w14:textId="7A1CF191" w:rsidR="001A7984" w:rsidRPr="00571106" w:rsidRDefault="003568DF" w:rsidP="001A7984">
      <w:pPr>
        <w:keepNext/>
        <w:keepLines/>
        <w:spacing w:before="40" w:line="259" w:lineRule="auto"/>
        <w:outlineLvl w:val="1"/>
        <w:rPr>
          <w:rFonts w:ascii="Book Antiqua" w:eastAsiaTheme="majorEastAsia" w:hAnsi="Book Antiqua" w:cstheme="majorBidi"/>
          <w:b/>
          <w:iCs/>
          <w:color w:val="000000" w:themeColor="text1"/>
          <w:sz w:val="22"/>
          <w:szCs w:val="22"/>
          <w:lang w:val="sr-Latn-RS" w:eastAsia="en-US"/>
        </w:rPr>
      </w:pPr>
      <w:r w:rsidRPr="008612F0">
        <w:br/>
      </w:r>
      <w:r w:rsidR="00916663" w:rsidRPr="00916663">
        <w:rPr>
          <w:rFonts w:ascii="Book Antiqua" w:eastAsiaTheme="majorEastAsia" w:hAnsi="Book Antiqua" w:cstheme="majorBidi"/>
          <w:b/>
          <w:color w:val="000000" w:themeColor="text1"/>
          <w:sz w:val="22"/>
          <w:szCs w:val="22"/>
          <w:lang w:val="sr-Latn-RS" w:eastAsia="en-US"/>
        </w:rPr>
        <w:t>Qëllimet e projektit</w:t>
      </w:r>
    </w:p>
    <w:p w14:paraId="0AE07540" w14:textId="77777777" w:rsidR="001A7984" w:rsidRPr="00571106" w:rsidRDefault="001A7984" w:rsidP="001A7984">
      <w:pPr>
        <w:rPr>
          <w:rFonts w:ascii="Book Antiqua" w:hAnsi="Book Antiqua"/>
          <w:sz w:val="22"/>
          <w:szCs w:val="22"/>
          <w:lang w:val="sr-Latn-RS" w:eastAsia="en-US"/>
        </w:rPr>
      </w:pPr>
    </w:p>
    <w:p w14:paraId="5FFED2C4" w14:textId="577D843F" w:rsidR="001A7984" w:rsidRPr="00571106" w:rsidRDefault="00096CF2" w:rsidP="001A7984">
      <w:pPr>
        <w:spacing w:after="300"/>
        <w:jc w:val="both"/>
        <w:rPr>
          <w:rFonts w:ascii="Book Antiqua" w:hAnsi="Book Antiqua"/>
          <w:sz w:val="22"/>
          <w:szCs w:val="22"/>
          <w:lang w:val="sr-Latn-RS"/>
        </w:rPr>
      </w:pPr>
      <w:r w:rsidRPr="00096CF2">
        <w:rPr>
          <w:rFonts w:ascii="Book Antiqua" w:eastAsiaTheme="minorHAnsi" w:hAnsi="Book Antiqua" w:cs="BookAntiqua"/>
          <w:sz w:val="22"/>
          <w:szCs w:val="22"/>
          <w:lang w:val="sr-Latn-CS" w:eastAsia="en-US"/>
        </w:rPr>
        <w:t>Organizatat e shoqërisë civile në përputhje me këtë thirrje publike mund të dorëzojnë aplikime me projektin si më poshtë:</w:t>
      </w:r>
    </w:p>
    <w:p w14:paraId="4DE8A416" w14:textId="77777777" w:rsidR="00EC41A1" w:rsidRPr="008612F0" w:rsidRDefault="00EC41A1" w:rsidP="00AB4126">
      <w:pPr>
        <w:jc w:val="right"/>
      </w:pPr>
    </w:p>
    <w:p w14:paraId="70EBB5A2" w14:textId="2A411C40" w:rsidR="00C235C2" w:rsidRPr="00086244" w:rsidRDefault="004C1E91" w:rsidP="00086244">
      <w:pPr>
        <w:jc w:val="both"/>
      </w:pPr>
      <w:r w:rsidRPr="004C1E91">
        <w:rPr>
          <w:b/>
          <w:i/>
        </w:rPr>
        <w:t>Kontributi në punësim, angazhim në praktikë dhe organizim të trajnimeve me theks të veçantë tek gratë, të rinjtë, personat me aftësi të veçanta, si dhe grupet e tjera të margjinalizuara brenda komuniteteve jo-shumicë që jetojnë në Kosovë.</w:t>
      </w:r>
    </w:p>
    <w:p w14:paraId="6B687406" w14:textId="77777777" w:rsidR="00086244" w:rsidRDefault="00086244" w:rsidP="003568DF">
      <w:pPr>
        <w:jc w:val="both"/>
      </w:pPr>
    </w:p>
    <w:p w14:paraId="21D97926" w14:textId="7BC2A9EB" w:rsidR="003F6514" w:rsidRDefault="00867F0C" w:rsidP="003568DF">
      <w:pPr>
        <w:jc w:val="both"/>
        <w:rPr>
          <w:color w:val="444444"/>
          <w:shd w:val="clear" w:color="auto" w:fill="FFFFFF"/>
        </w:rPr>
      </w:pPr>
      <w:r w:rsidRPr="00867F0C">
        <w:t xml:space="preserve">Qëllimi i këtij njoftimi publik është të mbështesë Ministrinë </w:t>
      </w:r>
      <w:r>
        <w:t>p</w:t>
      </w:r>
      <w:r w:rsidRPr="00867F0C">
        <w:t>ë</w:t>
      </w:r>
      <w:r>
        <w:t>r Komunitete dh</w:t>
      </w:r>
      <w:r w:rsidRPr="00867F0C">
        <w:t>e Kthim</w:t>
      </w:r>
      <w:r>
        <w:t xml:space="preserve"> </w:t>
      </w:r>
      <w:r w:rsidRPr="00867F0C">
        <w:t>në zbatimin e misionit të saj. Misioni është të krijojë kushte për kthim të qëndrueshëm, mbrojtje, integrim dhe zhvillim të komuniteteve duke ndërtuar besim të ndërsjellë dhe duke ofruar mundësi të barabarta për të gjitha komunitetet që jetojnë në Kosovë, përmes pranisë së tyre të vazhdueshme institucionale dhe shërbimeve efektive, duke marrë parasysh standardet ndërkombëtare dhe praktikat më të mira.</w:t>
      </w:r>
      <w:r w:rsidR="00EC41A1" w:rsidRPr="001B229E">
        <w:rPr>
          <w:color w:val="444444"/>
          <w:shd w:val="clear" w:color="auto" w:fill="FFFFFF"/>
        </w:rPr>
        <w:t>.</w:t>
      </w:r>
    </w:p>
    <w:p w14:paraId="2F096FB6" w14:textId="77777777" w:rsidR="001B229E" w:rsidRPr="001B229E" w:rsidRDefault="001B229E" w:rsidP="003568DF">
      <w:pPr>
        <w:jc w:val="both"/>
      </w:pPr>
    </w:p>
    <w:p w14:paraId="180F68D8" w14:textId="2DCA1767" w:rsidR="00EC41A1" w:rsidRPr="001B229E" w:rsidRDefault="00950055" w:rsidP="00EC41A1">
      <w:pPr>
        <w:jc w:val="both"/>
        <w:rPr>
          <w:b/>
        </w:rPr>
      </w:pPr>
      <w:r w:rsidRPr="00950055">
        <w:rPr>
          <w:b/>
        </w:rPr>
        <w:t>Programi për financimin e aktiviteteve që synojnë rritjen e nivelit të punësimit të anëtarëve të komuniteteve jo-shumicë</w:t>
      </w:r>
      <w:r w:rsidR="00584B72" w:rsidRPr="001B229E">
        <w:rPr>
          <w:b/>
        </w:rPr>
        <w:t>.</w:t>
      </w:r>
    </w:p>
    <w:p w14:paraId="2235E423" w14:textId="1A143BD6" w:rsidR="003568DF" w:rsidRPr="001B229E" w:rsidRDefault="00AB4126" w:rsidP="003568DF">
      <w:pPr>
        <w:jc w:val="both"/>
      </w:pPr>
      <w:r w:rsidRPr="001B229E">
        <w:lastRenderedPageBreak/>
        <w:t xml:space="preserve">1.2 </w:t>
      </w:r>
      <w:r w:rsidR="00105ADD" w:rsidRPr="00105ADD">
        <w:t>OJQ-të, në përputhje me këtë thirrje publike, mund të aplikojnë me projektet/programet e tyre për fushat prioritare të mëposhtme:</w:t>
      </w:r>
    </w:p>
    <w:p w14:paraId="087DD900" w14:textId="077C6227" w:rsidR="00E83E9C" w:rsidRPr="00086244" w:rsidRDefault="00CD7272" w:rsidP="00086244">
      <w:pPr>
        <w:pStyle w:val="ListParagraph"/>
        <w:numPr>
          <w:ilvl w:val="0"/>
          <w:numId w:val="11"/>
        </w:numPr>
        <w:spacing w:after="0" w:line="240" w:lineRule="auto"/>
        <w:rPr>
          <w:rFonts w:ascii="Times New Roman" w:hAnsi="Times New Roman" w:cs="Times New Roman"/>
          <w:sz w:val="24"/>
          <w:szCs w:val="24"/>
        </w:rPr>
      </w:pPr>
      <w:r w:rsidRPr="00CD7272">
        <w:rPr>
          <w:rFonts w:ascii="Times New Roman" w:hAnsi="Times New Roman" w:cs="Times New Roman"/>
          <w:sz w:val="24"/>
          <w:szCs w:val="24"/>
        </w:rPr>
        <w:t>Punësimi i praktikantëve për stazhe në institucione dhe organizata të ndryshme</w:t>
      </w:r>
      <w:r w:rsidR="00E83E9C" w:rsidRPr="00086244">
        <w:rPr>
          <w:rFonts w:ascii="Times New Roman" w:hAnsi="Times New Roman" w:cs="Times New Roman"/>
          <w:sz w:val="24"/>
          <w:szCs w:val="24"/>
        </w:rPr>
        <w:t>;</w:t>
      </w:r>
    </w:p>
    <w:p w14:paraId="5EFA9703" w14:textId="5462B2CA" w:rsidR="00E83E9C" w:rsidRPr="001B229E" w:rsidRDefault="00151577" w:rsidP="00E83E9C">
      <w:pPr>
        <w:pStyle w:val="ListParagraph"/>
        <w:numPr>
          <w:ilvl w:val="0"/>
          <w:numId w:val="11"/>
        </w:numPr>
        <w:spacing w:after="0" w:line="240" w:lineRule="auto"/>
        <w:rPr>
          <w:rFonts w:ascii="Times New Roman" w:hAnsi="Times New Roman" w:cs="Times New Roman"/>
          <w:sz w:val="24"/>
          <w:szCs w:val="24"/>
        </w:rPr>
      </w:pPr>
      <w:r w:rsidRPr="00151577">
        <w:rPr>
          <w:rFonts w:ascii="Times New Roman" w:hAnsi="Times New Roman" w:cs="Times New Roman"/>
          <w:sz w:val="24"/>
          <w:szCs w:val="24"/>
        </w:rPr>
        <w:t xml:space="preserve">Organizimi i trajnimit për aftësi të buta </w:t>
      </w:r>
      <w:r w:rsidR="00E74276" w:rsidRPr="001B229E">
        <w:rPr>
          <w:rFonts w:ascii="Times New Roman" w:hAnsi="Times New Roman" w:cs="Times New Roman"/>
          <w:sz w:val="24"/>
          <w:szCs w:val="24"/>
        </w:rPr>
        <w:t>(soft skills)</w:t>
      </w:r>
      <w:r w:rsidR="00E83E9C" w:rsidRPr="001B229E">
        <w:rPr>
          <w:rFonts w:ascii="Times New Roman" w:hAnsi="Times New Roman" w:cs="Times New Roman"/>
          <w:sz w:val="24"/>
          <w:szCs w:val="24"/>
        </w:rPr>
        <w:t>;</w:t>
      </w:r>
    </w:p>
    <w:p w14:paraId="4E8028E7" w14:textId="3AC26EA5" w:rsidR="00E83E9C" w:rsidRPr="001B229E" w:rsidRDefault="001C6C44" w:rsidP="00E83E9C">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1C6C44">
        <w:rPr>
          <w:rFonts w:ascii="Times New Roman" w:hAnsi="Times New Roman" w:cs="Times New Roman"/>
          <w:sz w:val="24"/>
          <w:szCs w:val="24"/>
        </w:rPr>
        <w:t>rjetëzimi profesional</w:t>
      </w:r>
      <w:r w:rsidR="00E83E9C" w:rsidRPr="001B229E">
        <w:rPr>
          <w:rFonts w:ascii="Times New Roman" w:hAnsi="Times New Roman" w:cs="Times New Roman"/>
          <w:sz w:val="24"/>
          <w:szCs w:val="24"/>
        </w:rPr>
        <w:t>;</w:t>
      </w:r>
    </w:p>
    <w:p w14:paraId="25AE0574" w14:textId="6C916A97" w:rsidR="00E83E9C" w:rsidRDefault="00674565" w:rsidP="00E83E9C">
      <w:pPr>
        <w:pStyle w:val="ListParagraph"/>
        <w:numPr>
          <w:ilvl w:val="0"/>
          <w:numId w:val="11"/>
        </w:numPr>
        <w:spacing w:after="0" w:line="240" w:lineRule="auto"/>
        <w:rPr>
          <w:rFonts w:ascii="Times New Roman" w:hAnsi="Times New Roman" w:cs="Times New Roman"/>
          <w:sz w:val="24"/>
          <w:szCs w:val="24"/>
        </w:rPr>
      </w:pPr>
      <w:r w:rsidRPr="00674565">
        <w:rPr>
          <w:rFonts w:ascii="Times New Roman" w:hAnsi="Times New Roman" w:cs="Times New Roman"/>
          <w:sz w:val="24"/>
          <w:szCs w:val="24"/>
        </w:rPr>
        <w:t>Trajnim për zanate të ndryshme, duke përfshirë, por pa u kufizuar në trajnim për parukierë, rrobaqepës, zdrukthëtarë, mekanikë makinash etj., si dhe punësimin e praktikantëve në këto vende pune</w:t>
      </w:r>
      <w:r w:rsidR="00E83E9C" w:rsidRPr="001B229E">
        <w:rPr>
          <w:rFonts w:ascii="Times New Roman" w:hAnsi="Times New Roman" w:cs="Times New Roman"/>
          <w:sz w:val="24"/>
          <w:szCs w:val="24"/>
        </w:rPr>
        <w:t>;</w:t>
      </w:r>
    </w:p>
    <w:p w14:paraId="012919EA" w14:textId="61561B5D" w:rsidR="00B97908" w:rsidRPr="001B229E" w:rsidRDefault="00EE1015" w:rsidP="00E83E9C">
      <w:pPr>
        <w:pStyle w:val="ListParagraph"/>
        <w:numPr>
          <w:ilvl w:val="0"/>
          <w:numId w:val="11"/>
        </w:numPr>
        <w:spacing w:after="0" w:line="240" w:lineRule="auto"/>
        <w:rPr>
          <w:rFonts w:ascii="Times New Roman" w:hAnsi="Times New Roman" w:cs="Times New Roman"/>
          <w:sz w:val="24"/>
          <w:szCs w:val="24"/>
        </w:rPr>
      </w:pPr>
      <w:r w:rsidRPr="00EE1015">
        <w:rPr>
          <w:rFonts w:ascii="Times New Roman" w:hAnsi="Times New Roman" w:cs="Times New Roman"/>
          <w:sz w:val="24"/>
          <w:szCs w:val="24"/>
        </w:rPr>
        <w:t>Zbatimi i projektit duhet të përfshijë të gjitha rajonet në Kosovë</w:t>
      </w:r>
      <w:r w:rsidR="00B97908">
        <w:rPr>
          <w:rFonts w:ascii="Times New Roman" w:hAnsi="Times New Roman" w:cs="Times New Roman"/>
          <w:sz w:val="24"/>
          <w:szCs w:val="24"/>
        </w:rPr>
        <w:t>.</w:t>
      </w:r>
    </w:p>
    <w:p w14:paraId="2013FD52" w14:textId="77777777" w:rsidR="005834AF" w:rsidRPr="001B229E" w:rsidRDefault="005834AF" w:rsidP="005834AF">
      <w:pPr>
        <w:pStyle w:val="ListParagraph"/>
        <w:jc w:val="both"/>
        <w:rPr>
          <w:rFonts w:ascii="Times New Roman" w:hAnsi="Times New Roman" w:cs="Times New Roman"/>
          <w:i/>
          <w:sz w:val="24"/>
          <w:szCs w:val="24"/>
        </w:rPr>
      </w:pPr>
    </w:p>
    <w:p w14:paraId="39EA05E3" w14:textId="694CE61B" w:rsidR="003568DF" w:rsidRPr="001B229E" w:rsidRDefault="00F05F66" w:rsidP="00AB4126">
      <w:pPr>
        <w:pStyle w:val="ListParagraph"/>
        <w:numPr>
          <w:ilvl w:val="1"/>
          <w:numId w:val="14"/>
        </w:numPr>
        <w:tabs>
          <w:tab w:val="left" w:pos="90"/>
        </w:tabs>
        <w:jc w:val="both"/>
        <w:rPr>
          <w:rFonts w:ascii="Times New Roman" w:hAnsi="Times New Roman" w:cs="Times New Roman"/>
          <w:sz w:val="24"/>
          <w:szCs w:val="24"/>
        </w:rPr>
      </w:pPr>
      <w:r w:rsidRPr="00F05F66">
        <w:rPr>
          <w:rFonts w:ascii="Times New Roman" w:hAnsi="Times New Roman" w:cs="Times New Roman"/>
          <w:sz w:val="24"/>
          <w:szCs w:val="24"/>
        </w:rPr>
        <w:t>Organizatat joqeveritare mund të aplikojnë me një projekt që kontribuon në angazhimin e praktikës dhe organizimin e trajnimeve për komunitetet në Kosovë, përmes aktiviteteve të mëposhtme:</w:t>
      </w:r>
    </w:p>
    <w:p w14:paraId="61F099CC" w14:textId="77777777" w:rsidR="00B36F37" w:rsidRPr="001B229E" w:rsidRDefault="00B36F37" w:rsidP="00B36F37">
      <w:pPr>
        <w:pStyle w:val="ListParagraph"/>
        <w:ind w:left="1440"/>
        <w:jc w:val="both"/>
        <w:rPr>
          <w:rFonts w:ascii="Times New Roman" w:hAnsi="Times New Roman" w:cs="Times New Roman"/>
          <w:sz w:val="24"/>
          <w:szCs w:val="24"/>
        </w:rPr>
      </w:pPr>
    </w:p>
    <w:p w14:paraId="66491A1F" w14:textId="4E60780C" w:rsidR="00570559" w:rsidRPr="001B229E" w:rsidRDefault="00F05F66" w:rsidP="00570559">
      <w:pPr>
        <w:pStyle w:val="ListParagraph"/>
        <w:numPr>
          <w:ilvl w:val="0"/>
          <w:numId w:val="10"/>
        </w:numPr>
        <w:rPr>
          <w:rFonts w:ascii="Times New Roman" w:hAnsi="Times New Roman" w:cs="Times New Roman"/>
          <w:sz w:val="24"/>
          <w:szCs w:val="24"/>
        </w:rPr>
      </w:pPr>
      <w:r w:rsidRPr="00F05F66">
        <w:rPr>
          <w:rFonts w:ascii="Times New Roman" w:hAnsi="Times New Roman" w:cs="Times New Roman"/>
          <w:sz w:val="24"/>
          <w:szCs w:val="24"/>
        </w:rPr>
        <w:t>Aktivitete që lidhen me angazhimin e praktikantëve duke investuar në trajnime dhe duke përvetësuar njohuritë e nevojshme për përfshirje në tregun e punës, me përparësi gratë, të rinjtë, personat me aftësi të veçanta, si dhe grupet e tjera të margjinalizuara brenda komuniteteve jo-shumicë;</w:t>
      </w:r>
    </w:p>
    <w:p w14:paraId="1D7C1080" w14:textId="13AD3881" w:rsidR="00570559" w:rsidRPr="001B229E" w:rsidRDefault="002E4F17" w:rsidP="00570559">
      <w:pPr>
        <w:pStyle w:val="ListParagraph"/>
        <w:numPr>
          <w:ilvl w:val="0"/>
          <w:numId w:val="10"/>
        </w:numPr>
        <w:rPr>
          <w:rFonts w:ascii="Times New Roman" w:hAnsi="Times New Roman" w:cs="Times New Roman"/>
          <w:sz w:val="24"/>
          <w:szCs w:val="24"/>
        </w:rPr>
      </w:pPr>
      <w:r w:rsidRPr="002E4F17">
        <w:rPr>
          <w:rFonts w:ascii="Times New Roman" w:hAnsi="Times New Roman" w:cs="Times New Roman"/>
          <w:sz w:val="24"/>
          <w:szCs w:val="24"/>
        </w:rPr>
        <w:t>Aktivitete që lidhen me organizimin e trajnimeve që do të promovojnë, zhvillojnë dhe ndërtojnë kapacitetet e komuniteteve për t'u bërë konkurruese në tregun e punës, si dhe do t'i pajisin ato me njohuritë e nevojshme për të qenë në gjendje të punojnë dhe të krijojnë mundësi të reja punësimi</w:t>
      </w:r>
      <w:r w:rsidR="00570559" w:rsidRPr="001B229E">
        <w:rPr>
          <w:rFonts w:ascii="Times New Roman" w:hAnsi="Times New Roman" w:cs="Times New Roman"/>
          <w:sz w:val="24"/>
          <w:szCs w:val="24"/>
        </w:rPr>
        <w:t>;</w:t>
      </w:r>
    </w:p>
    <w:p w14:paraId="3B91ADEE" w14:textId="4388181D" w:rsidR="00356DD7" w:rsidRPr="001B229E" w:rsidRDefault="002E4F17" w:rsidP="00570559">
      <w:pPr>
        <w:pStyle w:val="ListParagraph"/>
        <w:numPr>
          <w:ilvl w:val="0"/>
          <w:numId w:val="10"/>
        </w:numPr>
        <w:rPr>
          <w:rFonts w:ascii="Times New Roman" w:hAnsi="Times New Roman" w:cs="Times New Roman"/>
          <w:sz w:val="24"/>
          <w:szCs w:val="24"/>
        </w:rPr>
      </w:pPr>
      <w:r w:rsidRPr="002E4F17">
        <w:rPr>
          <w:rFonts w:ascii="Times New Roman" w:hAnsi="Times New Roman" w:cs="Times New Roman"/>
          <w:sz w:val="24"/>
          <w:szCs w:val="24"/>
        </w:rPr>
        <w:t>Aktivitete që lidhen me krijimin e një rrjeti profesional ku do të ofrohet organizimi i aktiviteteve të përbashkëta të anëtarëve të grupit të rrjetit dhe do të shkëmbehen informacione mbi mundësitë e punësimit ose trajnimit, si dhe do të ndihmohet njëri-tjetri në zgjidhjen e problemeve që lidhen me punën</w:t>
      </w:r>
    </w:p>
    <w:p w14:paraId="5ECA5C79" w14:textId="247BDC91" w:rsidR="00570559" w:rsidRPr="001B229E" w:rsidRDefault="00FC13BF" w:rsidP="00AE5954">
      <w:pPr>
        <w:pStyle w:val="ListParagraph"/>
        <w:numPr>
          <w:ilvl w:val="0"/>
          <w:numId w:val="10"/>
        </w:numPr>
        <w:rPr>
          <w:rFonts w:ascii="Times New Roman" w:hAnsi="Times New Roman" w:cs="Times New Roman"/>
          <w:sz w:val="24"/>
          <w:szCs w:val="24"/>
        </w:rPr>
      </w:pPr>
      <w:r w:rsidRPr="00FC13BF">
        <w:rPr>
          <w:rFonts w:ascii="Times New Roman" w:hAnsi="Times New Roman" w:cs="Times New Roman"/>
          <w:sz w:val="24"/>
          <w:szCs w:val="24"/>
        </w:rPr>
        <w:t>Vëmendje më e madhe ndaj çështjeve që lidhen me gratë në komunitete (për shembull, nivele më të larta të përfshirjes së grave në punësim, stazhe dhe trajnime)</w:t>
      </w:r>
      <w:r w:rsidR="00570559" w:rsidRPr="001B229E">
        <w:rPr>
          <w:rFonts w:ascii="Times New Roman" w:hAnsi="Times New Roman" w:cs="Times New Roman"/>
          <w:sz w:val="24"/>
          <w:szCs w:val="24"/>
        </w:rPr>
        <w:t>.</w:t>
      </w:r>
    </w:p>
    <w:p w14:paraId="144A8612" w14:textId="6CC94FEA" w:rsidR="00570559" w:rsidRPr="001B229E" w:rsidRDefault="00DB6FEA" w:rsidP="00AE5954">
      <w:pPr>
        <w:pStyle w:val="ListParagraph"/>
        <w:numPr>
          <w:ilvl w:val="0"/>
          <w:numId w:val="10"/>
        </w:numPr>
        <w:rPr>
          <w:rFonts w:ascii="Times New Roman" w:hAnsi="Times New Roman" w:cs="Times New Roman"/>
          <w:sz w:val="24"/>
          <w:szCs w:val="24"/>
        </w:rPr>
      </w:pPr>
      <w:r w:rsidRPr="00DB6FEA">
        <w:rPr>
          <w:rFonts w:ascii="Times New Roman" w:hAnsi="Times New Roman" w:cs="Times New Roman"/>
          <w:sz w:val="24"/>
          <w:szCs w:val="24"/>
        </w:rPr>
        <w:t>Aktivitete që synojnë përmirësimin e politikave qeveritare në fushën e mbrojtjes dhe promovimit të të drejtave dhe interesave të komuniteteve në aspektin e punësimit</w:t>
      </w:r>
      <w:r w:rsidR="00570559" w:rsidRPr="001B229E">
        <w:rPr>
          <w:rFonts w:ascii="Times New Roman" w:hAnsi="Times New Roman" w:cs="Times New Roman"/>
          <w:sz w:val="24"/>
          <w:szCs w:val="24"/>
        </w:rPr>
        <w:t>;</w:t>
      </w:r>
    </w:p>
    <w:p w14:paraId="0A061A8A" w14:textId="142259EA" w:rsidR="00570559" w:rsidRPr="001B229E" w:rsidRDefault="00471CCB" w:rsidP="00570559">
      <w:pPr>
        <w:pStyle w:val="ListParagraph"/>
        <w:numPr>
          <w:ilvl w:val="0"/>
          <w:numId w:val="10"/>
        </w:numPr>
        <w:spacing w:after="0" w:line="240" w:lineRule="auto"/>
        <w:jc w:val="both"/>
        <w:rPr>
          <w:rFonts w:ascii="Times New Roman" w:hAnsi="Times New Roman" w:cs="Times New Roman"/>
          <w:sz w:val="24"/>
          <w:szCs w:val="24"/>
        </w:rPr>
      </w:pPr>
      <w:r w:rsidRPr="00471CCB">
        <w:rPr>
          <w:rFonts w:ascii="Times New Roman" w:hAnsi="Times New Roman" w:cs="Times New Roman"/>
          <w:sz w:val="24"/>
          <w:szCs w:val="24"/>
        </w:rPr>
        <w:t>Aktivitete për zhvillimin e mundësive ekonomike për komunitetet dhe/ose anëtarët e komuniteteve jo-shumicë, ose trajnimin e tyre në gjenerimin e të ardhurave në çdo sektor</w:t>
      </w:r>
      <w:r w:rsidR="00570559" w:rsidRPr="001B229E">
        <w:rPr>
          <w:rFonts w:ascii="Times New Roman" w:hAnsi="Times New Roman" w:cs="Times New Roman"/>
          <w:sz w:val="24"/>
          <w:szCs w:val="24"/>
        </w:rPr>
        <w:t>;</w:t>
      </w:r>
    </w:p>
    <w:p w14:paraId="2734C3E0" w14:textId="77777777" w:rsidR="00A06FE4" w:rsidRPr="008612F0" w:rsidRDefault="00A06FE4" w:rsidP="00A06FE4">
      <w:pPr>
        <w:jc w:val="both"/>
      </w:pPr>
    </w:p>
    <w:p w14:paraId="64817310" w14:textId="3EE9AB72" w:rsidR="004C7358" w:rsidRDefault="00086244" w:rsidP="004C7358">
      <w:pPr>
        <w:jc w:val="both"/>
      </w:pPr>
      <w:r>
        <w:t>2.</w:t>
      </w:r>
      <w:r w:rsidR="00055917" w:rsidRPr="00055917">
        <w:t xml:space="preserve"> PROJEKTIMI FINANCIAR I THIRRJES DHE KUSHTEVE</w:t>
      </w:r>
    </w:p>
    <w:p w14:paraId="407D156F" w14:textId="77777777" w:rsidR="00086244" w:rsidRPr="008612F0" w:rsidRDefault="00086244" w:rsidP="004C7358">
      <w:pPr>
        <w:jc w:val="both"/>
      </w:pPr>
    </w:p>
    <w:p w14:paraId="6B3C0EB8" w14:textId="2E6B5BAF" w:rsidR="00086244" w:rsidRDefault="00086244" w:rsidP="0001254C">
      <w:pPr>
        <w:spacing w:after="240"/>
        <w:jc w:val="both"/>
      </w:pPr>
      <w:r>
        <w:t xml:space="preserve">2.1 </w:t>
      </w:r>
      <w:r w:rsidR="00087936" w:rsidRPr="00087936">
        <w:t>Shuma totale e kësaj thirrjeje është 400,000 euro dhe shuma minimale dhe maksimale për të cilën një aplikant mund të aplikojë është deri në shumën maksimale të kësaj thirrjeje.</w:t>
      </w:r>
      <w:r>
        <w:t xml:space="preserve"> </w:t>
      </w:r>
    </w:p>
    <w:p w14:paraId="00CF8A14" w14:textId="067AF4D9" w:rsidR="00035867" w:rsidRDefault="00086244" w:rsidP="0001254C">
      <w:pPr>
        <w:spacing w:after="240"/>
        <w:jc w:val="both"/>
      </w:pPr>
      <w:r>
        <w:t xml:space="preserve">2.2 </w:t>
      </w:r>
      <w:r w:rsidR="00A474ED" w:rsidRPr="00A474ED">
        <w:t>Projektet mund të financohen në shumën prej 100% të totalit të kostove të pranueshme të projektit (10% është shuma maksimale e lejuar për kostot administrative të aplikantëve)</w:t>
      </w:r>
      <w:r>
        <w:t>;</w:t>
      </w:r>
    </w:p>
    <w:p w14:paraId="21F0EEFF" w14:textId="1B6D7E9E" w:rsidR="00086244" w:rsidRDefault="00086244" w:rsidP="0001254C">
      <w:pPr>
        <w:spacing w:after="240"/>
        <w:jc w:val="both"/>
      </w:pPr>
      <w:r>
        <w:t xml:space="preserve">2.3 </w:t>
      </w:r>
      <w:r w:rsidR="0050453A" w:rsidRPr="0050453A">
        <w:t>Shuma minimale që një praktikant mund të marrë si kompensim në baza mujore gjatë trajnimit është 350 euro bruto (minimumi i përcaktuar me ligj).</w:t>
      </w:r>
      <w:r>
        <w:t xml:space="preserve"> </w:t>
      </w:r>
    </w:p>
    <w:p w14:paraId="6FD2E04D" w14:textId="72DCD660" w:rsidR="00086244" w:rsidRDefault="00086244" w:rsidP="00086244">
      <w:pPr>
        <w:jc w:val="both"/>
      </w:pPr>
      <w:r>
        <w:lastRenderedPageBreak/>
        <w:t xml:space="preserve">2.4 </w:t>
      </w:r>
      <w:r w:rsidR="00EA25BB" w:rsidRPr="00EA25BB">
        <w:t>Periudha e zbatimit të projektit është nga tre deri në gjashtë muaj</w:t>
      </w:r>
      <w:r>
        <w:t>;</w:t>
      </w:r>
    </w:p>
    <w:p w14:paraId="1CDC32ED" w14:textId="77777777" w:rsidR="003E5C1A" w:rsidRDefault="003E5C1A" w:rsidP="00086244">
      <w:pPr>
        <w:jc w:val="both"/>
      </w:pPr>
    </w:p>
    <w:p w14:paraId="34ACD440" w14:textId="1924B03F" w:rsidR="00086244" w:rsidRDefault="00086244" w:rsidP="0040352B">
      <w:pPr>
        <w:jc w:val="both"/>
      </w:pPr>
      <w:r>
        <w:t xml:space="preserve">2.5 </w:t>
      </w:r>
      <w:r w:rsidR="0040352B" w:rsidRPr="0040352B">
        <w:t>Përparësi për këtë thirrje u jepet OJQ-ve që jo vetëm punojnë për komunitetin, por kanë edhe zyra në të gjitha rajonet e Kosovës</w:t>
      </w:r>
      <w:r w:rsidR="00B97908">
        <w:t>.</w:t>
      </w:r>
    </w:p>
    <w:p w14:paraId="629844D8" w14:textId="77777777" w:rsidR="001B229E" w:rsidRPr="008612F0" w:rsidRDefault="001B229E" w:rsidP="00251BA5">
      <w:pPr>
        <w:jc w:val="both"/>
      </w:pPr>
    </w:p>
    <w:p w14:paraId="4DA54F9B" w14:textId="44533D26" w:rsidR="00E36B53" w:rsidRPr="008612F0" w:rsidRDefault="00B97908" w:rsidP="00E36B53">
      <w:pPr>
        <w:jc w:val="both"/>
      </w:pPr>
      <w:r>
        <w:t>2.6</w:t>
      </w:r>
      <w:r w:rsidR="00E36B53" w:rsidRPr="008612F0">
        <w:t xml:space="preserve">. </w:t>
      </w:r>
      <w:r w:rsidR="008D652C" w:rsidRPr="008D652C">
        <w:t>Afati i fundit për dorëzimin e propozimeve është pesëmbëdhjetë (15) ditë pune dhe përfundon më 17 nëntor 2025, në orën 16:00.</w:t>
      </w:r>
    </w:p>
    <w:p w14:paraId="08D7065D" w14:textId="77777777" w:rsidR="00EF5A78" w:rsidRDefault="00EF5A78" w:rsidP="00EF5A78">
      <w:pPr>
        <w:jc w:val="both"/>
      </w:pPr>
      <w:r>
        <w:t>OJQ-të mund të aplikojnë me një maksimum prej një (1) projekti në kuadër të kësaj thirrjeje.</w:t>
      </w:r>
    </w:p>
    <w:p w14:paraId="59EBCF77" w14:textId="127CC5E9" w:rsidR="00E36B53" w:rsidRPr="008612F0" w:rsidRDefault="00EF5A78" w:rsidP="00EF5A78">
      <w:pPr>
        <w:jc w:val="both"/>
      </w:pPr>
      <w:r>
        <w:t>E njëjta OJQ mund të jetë partnere në disa projekte në fushat prioritare të thirrjes.</w:t>
      </w:r>
    </w:p>
    <w:p w14:paraId="2149113F" w14:textId="77777777" w:rsidR="00B97908" w:rsidRDefault="00B97908" w:rsidP="009A1F3D">
      <w:pPr>
        <w:jc w:val="both"/>
      </w:pPr>
    </w:p>
    <w:p w14:paraId="18D40E23" w14:textId="77777777" w:rsidR="009A1F3D" w:rsidRDefault="009A1F3D" w:rsidP="00E36B53">
      <w:pPr>
        <w:jc w:val="both"/>
      </w:pPr>
    </w:p>
    <w:p w14:paraId="4EE1F5F3" w14:textId="77777777" w:rsidR="00E36B53" w:rsidRPr="008612F0" w:rsidRDefault="00E36B53" w:rsidP="002936AF">
      <w:pPr>
        <w:jc w:val="both"/>
      </w:pPr>
    </w:p>
    <w:p w14:paraId="53CE03ED" w14:textId="0D05E5C4" w:rsidR="00622A96" w:rsidRDefault="00CC4A99" w:rsidP="00622A96">
      <w:pPr>
        <w:pStyle w:val="ListParagraph"/>
        <w:numPr>
          <w:ilvl w:val="0"/>
          <w:numId w:val="26"/>
        </w:numPr>
        <w:spacing w:after="60" w:line="240" w:lineRule="auto"/>
        <w:jc w:val="both"/>
        <w:rPr>
          <w:rFonts w:ascii="Book Antiqua" w:hAnsi="Book Antiqua" w:cs="BookAntiqua"/>
          <w:b/>
          <w:lang w:val="sr-Latn-CS"/>
        </w:rPr>
      </w:pPr>
      <w:r w:rsidRPr="00CC4A99">
        <w:rPr>
          <w:rFonts w:ascii="Book Antiqua" w:hAnsi="Book Antiqua" w:cs="BookAntiqua"/>
          <w:b/>
          <w:lang w:val="sr-Latn-CS"/>
        </w:rPr>
        <w:t>Kalendari indikative i përfundimit të thirrjes</w:t>
      </w:r>
      <w:r>
        <w:rPr>
          <w:rFonts w:ascii="Book Antiqua" w:hAnsi="Book Antiqua" w:cs="BookAntiqua"/>
          <w:b/>
          <w:lang w:val="sr-Latn-CS"/>
        </w:rPr>
        <w:t xml:space="preserve"> </w:t>
      </w:r>
    </w:p>
    <w:p w14:paraId="21798F50" w14:textId="77777777" w:rsidR="00622A96" w:rsidRDefault="00622A96" w:rsidP="00622A96">
      <w:pPr>
        <w:pStyle w:val="ListParagraph"/>
        <w:autoSpaceDE w:val="0"/>
        <w:autoSpaceDN w:val="0"/>
        <w:adjustRightInd w:val="0"/>
        <w:jc w:val="both"/>
        <w:rPr>
          <w:rFonts w:ascii="Book Antiqua" w:eastAsia="Times New Roman" w:hAnsi="Book Antiqua" w:cs="Times New Roman"/>
          <w:color w:val="0D0D0D"/>
          <w:sz w:val="24"/>
          <w:szCs w:val="24"/>
          <w:lang w:eastAsia="sr-Latn-CS"/>
        </w:rPr>
      </w:pPr>
    </w:p>
    <w:p w14:paraId="4F7BBF56" w14:textId="7574DA44" w:rsidR="0055117A" w:rsidRPr="00FC6BA6" w:rsidRDefault="00B97908" w:rsidP="0055117A">
      <w:pPr>
        <w:tabs>
          <w:tab w:val="left" w:pos="720"/>
          <w:tab w:val="left" w:pos="1140"/>
        </w:tabs>
        <w:spacing w:before="60" w:after="60"/>
        <w:jc w:val="both"/>
      </w:pPr>
      <w:r>
        <w:t>2</w:t>
      </w:r>
      <w:r w:rsidR="00AD404A">
        <w:t>8</w:t>
      </w:r>
      <w:r w:rsidR="00416040" w:rsidRPr="00FC6BA6">
        <w:t>.</w:t>
      </w:r>
      <w:r>
        <w:t>10</w:t>
      </w:r>
      <w:r w:rsidR="0055117A" w:rsidRPr="00FC6BA6">
        <w:t>.202</w:t>
      </w:r>
      <w:r w:rsidR="00E36B53">
        <w:t>5</w:t>
      </w:r>
      <w:r w:rsidR="0055117A" w:rsidRPr="00FC6BA6">
        <w:tab/>
        <w:t>-</w:t>
      </w:r>
      <w:r w:rsidR="0055117A" w:rsidRPr="00FC6BA6">
        <w:tab/>
        <w:t xml:space="preserve">      </w:t>
      </w:r>
      <w:r w:rsidR="00A934DF">
        <w:rPr>
          <w:color w:val="000000" w:themeColor="text1"/>
          <w:lang w:val="sr-Latn-RS"/>
        </w:rPr>
        <w:t>Hapja e thirrjes</w:t>
      </w:r>
    </w:p>
    <w:p w14:paraId="596826D3" w14:textId="087B608D" w:rsidR="0055117A" w:rsidRPr="00FC6BA6" w:rsidRDefault="00B97908" w:rsidP="0055117A">
      <w:pPr>
        <w:tabs>
          <w:tab w:val="left" w:pos="720"/>
          <w:tab w:val="left" w:pos="1140"/>
        </w:tabs>
        <w:spacing w:before="60" w:after="60"/>
        <w:jc w:val="both"/>
      </w:pPr>
      <w:r>
        <w:t>0</w:t>
      </w:r>
      <w:r w:rsidR="00AD404A">
        <w:t>4</w:t>
      </w:r>
      <w:r w:rsidR="00416040" w:rsidRPr="00FC6BA6">
        <w:t>.</w:t>
      </w:r>
      <w:r>
        <w:t>11</w:t>
      </w:r>
      <w:r w:rsidR="0055117A" w:rsidRPr="00FC6BA6">
        <w:t>.202</w:t>
      </w:r>
      <w:r w:rsidR="009A1F3D">
        <w:t>5</w:t>
      </w:r>
      <w:r w:rsidR="0055117A" w:rsidRPr="00FC6BA6">
        <w:tab/>
        <w:t>-</w:t>
      </w:r>
      <w:r w:rsidR="0055117A" w:rsidRPr="00FC6BA6">
        <w:tab/>
        <w:t xml:space="preserve">      </w:t>
      </w:r>
      <w:r w:rsidR="00A934DF" w:rsidRPr="00A934DF">
        <w:t>Afati i fundit për parashtrimin e pyetjeve rreth thirrjes</w:t>
      </w:r>
    </w:p>
    <w:p w14:paraId="0BA64BAA" w14:textId="766D7E40" w:rsidR="0055117A" w:rsidRPr="00FC6BA6" w:rsidRDefault="00B97908" w:rsidP="0055117A">
      <w:pPr>
        <w:tabs>
          <w:tab w:val="left" w:pos="720"/>
          <w:tab w:val="left" w:pos="1140"/>
        </w:tabs>
        <w:spacing w:before="60" w:after="60"/>
        <w:jc w:val="both"/>
      </w:pPr>
      <w:r>
        <w:t>07</w:t>
      </w:r>
      <w:r w:rsidR="00416040" w:rsidRPr="00FC6BA6">
        <w:t>.</w:t>
      </w:r>
      <w:r>
        <w:t>11</w:t>
      </w:r>
      <w:r w:rsidR="0055117A" w:rsidRPr="00FC6BA6">
        <w:t>.202</w:t>
      </w:r>
      <w:r w:rsidR="009A1F3D">
        <w:t>5</w:t>
      </w:r>
      <w:r w:rsidR="0055117A" w:rsidRPr="00FC6BA6">
        <w:tab/>
        <w:t>-</w:t>
      </w:r>
      <w:r w:rsidR="0055117A" w:rsidRPr="00FC6BA6">
        <w:tab/>
        <w:t xml:space="preserve">      </w:t>
      </w:r>
      <w:r w:rsidR="00A934DF" w:rsidRPr="00A934DF">
        <w:t xml:space="preserve">Publikimi i përgjigjeve në </w:t>
      </w:r>
      <w:r w:rsidR="00A934DF">
        <w:t xml:space="preserve">internet </w:t>
      </w:r>
      <w:r w:rsidR="00A934DF" w:rsidRPr="00A934DF">
        <w:t>faqen të M</w:t>
      </w:r>
      <w:r w:rsidR="00A934DF">
        <w:t>KK</w:t>
      </w:r>
      <w:r w:rsidR="00A934DF" w:rsidRPr="00A934DF">
        <w:t>-së</w:t>
      </w:r>
    </w:p>
    <w:p w14:paraId="05B17887" w14:textId="5CE39070" w:rsidR="0055117A" w:rsidRPr="00FC6BA6" w:rsidRDefault="00B97908" w:rsidP="0055117A">
      <w:pPr>
        <w:tabs>
          <w:tab w:val="left" w:pos="720"/>
          <w:tab w:val="left" w:pos="1140"/>
        </w:tabs>
        <w:spacing w:before="60" w:after="60"/>
        <w:jc w:val="both"/>
      </w:pPr>
      <w:r>
        <w:t>1</w:t>
      </w:r>
      <w:r w:rsidR="00AD404A">
        <w:t>7</w:t>
      </w:r>
      <w:r w:rsidR="00416040" w:rsidRPr="00FC6BA6">
        <w:t>.</w:t>
      </w:r>
      <w:r>
        <w:t>11</w:t>
      </w:r>
      <w:r w:rsidR="00FC6BA6" w:rsidRPr="00FC6BA6">
        <w:t>.2025</w:t>
      </w:r>
      <w:r w:rsidR="0055117A" w:rsidRPr="00FC6BA6">
        <w:tab/>
        <w:t>-</w:t>
      </w:r>
      <w:r w:rsidR="0055117A" w:rsidRPr="00FC6BA6">
        <w:tab/>
        <w:t xml:space="preserve">      </w:t>
      </w:r>
      <w:r w:rsidR="00445FC1" w:rsidRPr="00445FC1">
        <w:t>Afati i fundit për parashtrimin e projekt propozimit në MKK</w:t>
      </w:r>
    </w:p>
    <w:p w14:paraId="04697643" w14:textId="2133452B" w:rsidR="0055117A" w:rsidRPr="00FC6BA6" w:rsidRDefault="00B97908" w:rsidP="0055117A">
      <w:pPr>
        <w:tabs>
          <w:tab w:val="left" w:pos="720"/>
          <w:tab w:val="left" w:pos="1140"/>
        </w:tabs>
        <w:spacing w:before="60" w:after="60"/>
        <w:jc w:val="both"/>
      </w:pPr>
      <w:r>
        <w:t>2</w:t>
      </w:r>
      <w:r w:rsidR="00AD404A">
        <w:t>1</w:t>
      </w:r>
      <w:r>
        <w:t>.11</w:t>
      </w:r>
      <w:r w:rsidR="00416040" w:rsidRPr="00FC6BA6">
        <w:t>.2025</w:t>
      </w:r>
      <w:r w:rsidR="0055117A" w:rsidRPr="00FC6BA6">
        <w:tab/>
        <w:t xml:space="preserve">- </w:t>
      </w:r>
      <w:r w:rsidR="0055117A" w:rsidRPr="00FC6BA6">
        <w:tab/>
        <w:t xml:space="preserve">      </w:t>
      </w:r>
      <w:r w:rsidR="00B861D1" w:rsidRPr="00B861D1">
        <w:t>Publikimi i rezultateve paraprake, njoftimi i aplikantëve</w:t>
      </w:r>
    </w:p>
    <w:p w14:paraId="5CEAAA0D" w14:textId="3941B9BF" w:rsidR="0055117A" w:rsidRPr="00FC6BA6" w:rsidRDefault="00AD404A" w:rsidP="0055117A">
      <w:pPr>
        <w:tabs>
          <w:tab w:val="left" w:pos="720"/>
          <w:tab w:val="left" w:pos="1140"/>
        </w:tabs>
        <w:spacing w:before="60" w:after="60"/>
        <w:jc w:val="both"/>
      </w:pPr>
      <w:r>
        <w:t>28</w:t>
      </w:r>
      <w:r w:rsidR="00B97908">
        <w:t>.1</w:t>
      </w:r>
      <w:r>
        <w:t>1</w:t>
      </w:r>
      <w:r w:rsidR="001B229E" w:rsidRPr="00FC6BA6">
        <w:t>.2025</w:t>
      </w:r>
      <w:r w:rsidR="0055117A" w:rsidRPr="00FC6BA6">
        <w:tab/>
        <w:t>-</w:t>
      </w:r>
      <w:r w:rsidR="0055117A" w:rsidRPr="00FC6BA6">
        <w:tab/>
        <w:t xml:space="preserve">     </w:t>
      </w:r>
      <w:r w:rsidR="0030578E" w:rsidRPr="0030578E">
        <w:t>Afati i fundit për paraqitjen e ankesave</w:t>
      </w:r>
    </w:p>
    <w:p w14:paraId="318A9A07" w14:textId="39253CE7" w:rsidR="0055117A" w:rsidRPr="00FC6BA6" w:rsidRDefault="00AD404A" w:rsidP="0055117A">
      <w:pPr>
        <w:tabs>
          <w:tab w:val="left" w:pos="720"/>
          <w:tab w:val="left" w:pos="1140"/>
        </w:tabs>
        <w:spacing w:before="60" w:after="60"/>
        <w:jc w:val="both"/>
      </w:pPr>
      <w:r>
        <w:t>03</w:t>
      </w:r>
      <w:r w:rsidR="00B97908">
        <w:t>.12</w:t>
      </w:r>
      <w:r w:rsidR="001B229E" w:rsidRPr="00FC6BA6">
        <w:t>.2025-</w:t>
      </w:r>
      <w:r w:rsidR="0055117A" w:rsidRPr="00FC6BA6">
        <w:tab/>
        <w:t xml:space="preserve">     </w:t>
      </w:r>
      <w:r w:rsidR="0075631C" w:rsidRPr="0075631C">
        <w:t>Vendimi i Komisionit të Ankesave</w:t>
      </w:r>
    </w:p>
    <w:p w14:paraId="2D43C833" w14:textId="0BE26BC8" w:rsidR="0055117A" w:rsidRPr="00FC6BA6" w:rsidRDefault="00B97908" w:rsidP="0055117A">
      <w:pPr>
        <w:tabs>
          <w:tab w:val="left" w:pos="720"/>
          <w:tab w:val="left" w:pos="1140"/>
        </w:tabs>
        <w:spacing w:before="60" w:after="60"/>
        <w:jc w:val="both"/>
      </w:pPr>
      <w:r>
        <w:t>1</w:t>
      </w:r>
      <w:r w:rsidR="00AD404A">
        <w:t>0</w:t>
      </w:r>
      <w:r>
        <w:t>-</w:t>
      </w:r>
      <w:r w:rsidR="00AD404A">
        <w:t>12</w:t>
      </w:r>
      <w:r>
        <w:t>.</w:t>
      </w:r>
      <w:r w:rsidR="00AD404A">
        <w:t>12.</w:t>
      </w:r>
      <w:r>
        <w:t>2025</w:t>
      </w:r>
      <w:r w:rsidR="0055117A" w:rsidRPr="00FC6BA6">
        <w:t>-</w:t>
      </w:r>
      <w:r>
        <w:t xml:space="preserve">  </w:t>
      </w:r>
      <w:r w:rsidR="0055117A" w:rsidRPr="00FC6BA6">
        <w:t xml:space="preserve">  </w:t>
      </w:r>
      <w:r w:rsidR="000530BB" w:rsidRPr="000530BB">
        <w:t>Nënshkrimi i kontratës</w:t>
      </w:r>
    </w:p>
    <w:p w14:paraId="61EF59B7" w14:textId="77777777" w:rsidR="00622A96" w:rsidRDefault="00622A96" w:rsidP="00622A96">
      <w:pPr>
        <w:pStyle w:val="ListParagraph"/>
        <w:autoSpaceDE w:val="0"/>
        <w:autoSpaceDN w:val="0"/>
        <w:adjustRightInd w:val="0"/>
        <w:jc w:val="both"/>
        <w:rPr>
          <w:rFonts w:ascii="Book Antiqua" w:hAnsi="Book Antiqua"/>
          <w:color w:val="0D0D0D"/>
        </w:rPr>
      </w:pPr>
    </w:p>
    <w:p w14:paraId="4B7687BC" w14:textId="61511FFE" w:rsidR="00E03000" w:rsidRPr="00E03000" w:rsidRDefault="00E03000" w:rsidP="00E03000">
      <w:pPr>
        <w:pStyle w:val="ListParagraph"/>
        <w:numPr>
          <w:ilvl w:val="0"/>
          <w:numId w:val="26"/>
        </w:numPr>
        <w:rPr>
          <w:rFonts w:ascii="Book Antiqua" w:hAnsi="Book Antiqua" w:cs="BookAntiqua"/>
          <w:b/>
          <w:color w:val="000000"/>
          <w:lang w:val="sr-Latn-CS"/>
        </w:rPr>
      </w:pPr>
      <w:r w:rsidRPr="00E03000">
        <w:rPr>
          <w:rFonts w:ascii="Book Antiqua" w:hAnsi="Book Antiqua" w:cs="BookAntiqua"/>
          <w:b/>
          <w:color w:val="000000"/>
          <w:lang w:val="sr-Latn-CS"/>
        </w:rPr>
        <w:t xml:space="preserve">Lista e plote e dokumenteve të nevojshme </w:t>
      </w:r>
    </w:p>
    <w:p w14:paraId="7666CBF0" w14:textId="34515FCF" w:rsidR="00622A96" w:rsidRDefault="00E03000" w:rsidP="00622A96">
      <w:pPr>
        <w:autoSpaceDE w:val="0"/>
        <w:autoSpaceDN w:val="0"/>
        <w:adjustRightInd w:val="0"/>
        <w:jc w:val="both"/>
        <w:rPr>
          <w:rFonts w:ascii="Book Antiqua" w:eastAsiaTheme="minorHAnsi" w:hAnsi="Book Antiqua" w:cs="BookAntiqua"/>
          <w:color w:val="000000"/>
          <w:sz w:val="22"/>
          <w:szCs w:val="22"/>
          <w:lang w:val="sr-Latn-CS" w:eastAsia="en-US"/>
        </w:rPr>
      </w:pPr>
      <w:r w:rsidRPr="00E03000">
        <w:rPr>
          <w:rFonts w:ascii="Book Antiqua" w:eastAsiaTheme="minorHAnsi" w:hAnsi="Book Antiqua" w:cs="BookAntiqua"/>
          <w:color w:val="000000"/>
          <w:sz w:val="22"/>
          <w:szCs w:val="22"/>
          <w:lang w:val="sr-Latn-CS" w:eastAsia="en-US"/>
        </w:rPr>
        <w:t>Aplikimi do të konsiderohet i plotë nëse i përmban të gjithë formularët e aplikimit dhe shtojcat e detyrueshme siç specifikohen në thirrjen publike dhe dokumentet e thirrjes si më poshtë</w:t>
      </w:r>
      <w:r w:rsidR="00622A96">
        <w:rPr>
          <w:rFonts w:ascii="Book Antiqua" w:eastAsiaTheme="minorHAnsi" w:hAnsi="Book Antiqua" w:cs="BookAntiqua"/>
          <w:color w:val="000000"/>
          <w:sz w:val="22"/>
          <w:szCs w:val="22"/>
          <w:lang w:val="sr-Latn-CS" w:eastAsia="en-US"/>
        </w:rPr>
        <w:t>:</w:t>
      </w:r>
    </w:p>
    <w:p w14:paraId="60AAA874" w14:textId="77777777" w:rsidR="00622A96" w:rsidRDefault="00622A96" w:rsidP="00622A96">
      <w:pPr>
        <w:autoSpaceDE w:val="0"/>
        <w:autoSpaceDN w:val="0"/>
        <w:adjustRightInd w:val="0"/>
        <w:jc w:val="both"/>
        <w:rPr>
          <w:rFonts w:ascii="Book Antiqua" w:eastAsiaTheme="minorHAnsi" w:hAnsi="Book Antiqua" w:cs="BookAntiqua"/>
          <w:color w:val="000000"/>
          <w:sz w:val="22"/>
          <w:szCs w:val="22"/>
          <w:lang w:val="sr-Latn-CS" w:eastAsia="en-US"/>
        </w:rPr>
      </w:pPr>
    </w:p>
    <w:p w14:paraId="0E0D4422" w14:textId="5F04B676" w:rsidR="00622A96" w:rsidRDefault="00622A96" w:rsidP="00622A96">
      <w:pPr>
        <w:autoSpaceDE w:val="0"/>
        <w:autoSpaceDN w:val="0"/>
        <w:adjustRightInd w:val="0"/>
        <w:ind w:left="720" w:hanging="360"/>
        <w:contextualSpacing/>
        <w:jc w:val="both"/>
        <w:rPr>
          <w:rFonts w:eastAsiaTheme="minorHAnsi"/>
          <w:color w:val="000000"/>
          <w:lang w:eastAsia="en-US"/>
        </w:rPr>
      </w:pPr>
      <w:r>
        <w:rPr>
          <w:rFonts w:eastAsiaTheme="minorHAnsi"/>
          <w:color w:val="000000"/>
          <w:lang w:eastAsia="en-US"/>
        </w:rPr>
        <w:t xml:space="preserve">1.      </w:t>
      </w:r>
      <w:r w:rsidR="00860E8E" w:rsidRPr="00860E8E">
        <w:rPr>
          <w:rFonts w:eastAsiaTheme="minorHAnsi"/>
          <w:color w:val="000000"/>
          <w:lang w:eastAsia="en-US"/>
        </w:rPr>
        <w:t>Formulari i Propozimit të Ofertës</w:t>
      </w:r>
    </w:p>
    <w:p w14:paraId="0E670C56" w14:textId="77777777" w:rsidR="009F50C9" w:rsidRDefault="00622A96" w:rsidP="00622A96">
      <w:pPr>
        <w:autoSpaceDE w:val="0"/>
        <w:autoSpaceDN w:val="0"/>
        <w:adjustRightInd w:val="0"/>
        <w:ind w:left="720" w:hanging="360"/>
        <w:contextualSpacing/>
        <w:jc w:val="both"/>
        <w:rPr>
          <w:rFonts w:eastAsiaTheme="minorHAnsi"/>
          <w:color w:val="000000"/>
          <w:lang w:eastAsia="en-US"/>
        </w:rPr>
      </w:pPr>
      <w:r>
        <w:rPr>
          <w:rFonts w:eastAsiaTheme="minorHAnsi"/>
          <w:color w:val="000000"/>
          <w:lang w:eastAsia="en-US"/>
        </w:rPr>
        <w:t xml:space="preserve">2.      </w:t>
      </w:r>
      <w:r w:rsidR="009F50C9" w:rsidRPr="009F50C9">
        <w:rPr>
          <w:rFonts w:eastAsiaTheme="minorHAnsi"/>
          <w:color w:val="000000"/>
          <w:lang w:eastAsia="en-US"/>
        </w:rPr>
        <w:t>Formulari i propozimit të buxhetit</w:t>
      </w:r>
    </w:p>
    <w:p w14:paraId="25410FBB" w14:textId="2C295156" w:rsidR="00622A96" w:rsidRDefault="00622A96" w:rsidP="00622A96">
      <w:pPr>
        <w:autoSpaceDE w:val="0"/>
        <w:autoSpaceDN w:val="0"/>
        <w:adjustRightInd w:val="0"/>
        <w:ind w:left="720" w:hanging="360"/>
        <w:contextualSpacing/>
        <w:jc w:val="both"/>
        <w:rPr>
          <w:rFonts w:eastAsiaTheme="minorHAnsi"/>
          <w:color w:val="000000"/>
          <w:lang w:eastAsia="en-US"/>
        </w:rPr>
      </w:pPr>
      <w:r>
        <w:rPr>
          <w:rFonts w:eastAsiaTheme="minorHAnsi"/>
          <w:color w:val="000000"/>
          <w:lang w:eastAsia="en-US"/>
        </w:rPr>
        <w:t xml:space="preserve">3.      </w:t>
      </w:r>
      <w:r w:rsidR="00A55971" w:rsidRPr="00A55971">
        <w:rPr>
          <w:rFonts w:eastAsiaTheme="minorHAnsi"/>
          <w:color w:val="000000"/>
          <w:lang w:eastAsia="en-US"/>
        </w:rPr>
        <w:t>Formulari i Deklaratës së Partneritetit (nëse aplikohet)</w:t>
      </w:r>
    </w:p>
    <w:p w14:paraId="4C0547E8" w14:textId="02277229" w:rsidR="00622A96" w:rsidRDefault="00622A96" w:rsidP="00622A96">
      <w:pPr>
        <w:autoSpaceDE w:val="0"/>
        <w:autoSpaceDN w:val="0"/>
        <w:adjustRightInd w:val="0"/>
        <w:ind w:left="720" w:hanging="360"/>
        <w:contextualSpacing/>
        <w:jc w:val="both"/>
        <w:rPr>
          <w:rFonts w:eastAsiaTheme="minorHAnsi"/>
          <w:color w:val="000000"/>
          <w:lang w:eastAsia="en-US"/>
        </w:rPr>
      </w:pPr>
      <w:r>
        <w:rPr>
          <w:rFonts w:eastAsiaTheme="minorHAnsi"/>
          <w:color w:val="000000"/>
          <w:lang w:eastAsia="en-US"/>
        </w:rPr>
        <w:t xml:space="preserve">4.      </w:t>
      </w:r>
      <w:r w:rsidR="004F10DF" w:rsidRPr="004F10DF">
        <w:rPr>
          <w:rFonts w:eastAsiaTheme="minorHAnsi"/>
          <w:color w:val="000000"/>
          <w:lang w:eastAsia="en-US"/>
        </w:rPr>
        <w:t>Kopje e certifikatës së regjistrimit të OJQ-së;</w:t>
      </w:r>
    </w:p>
    <w:p w14:paraId="01A47A5C" w14:textId="558131A5" w:rsidR="00622A96" w:rsidRDefault="00622A96" w:rsidP="00622A96">
      <w:pPr>
        <w:autoSpaceDE w:val="0"/>
        <w:autoSpaceDN w:val="0"/>
        <w:adjustRightInd w:val="0"/>
        <w:ind w:left="720" w:hanging="360"/>
        <w:contextualSpacing/>
        <w:jc w:val="both"/>
        <w:rPr>
          <w:rFonts w:eastAsiaTheme="minorHAnsi"/>
          <w:color w:val="000000"/>
          <w:lang w:eastAsia="en-US"/>
        </w:rPr>
      </w:pPr>
      <w:r>
        <w:rPr>
          <w:rFonts w:eastAsiaTheme="minorHAnsi"/>
          <w:color w:val="000000"/>
          <w:lang w:eastAsia="en-US"/>
        </w:rPr>
        <w:t xml:space="preserve">5.      </w:t>
      </w:r>
      <w:r w:rsidR="00E03FAB" w:rsidRPr="00E03FAB">
        <w:rPr>
          <w:rFonts w:eastAsiaTheme="minorHAnsi"/>
          <w:color w:val="000000"/>
          <w:lang w:eastAsia="en-US"/>
        </w:rPr>
        <w:t>Kopje e certifikatës së numrit fiskal</w:t>
      </w:r>
      <w:r>
        <w:rPr>
          <w:rFonts w:eastAsiaTheme="minorHAnsi"/>
          <w:color w:val="000000"/>
          <w:lang w:eastAsia="en-US"/>
        </w:rPr>
        <w:t>;</w:t>
      </w:r>
    </w:p>
    <w:p w14:paraId="1DF6BE31" w14:textId="75451B8B" w:rsidR="00622A96" w:rsidRDefault="00622A96" w:rsidP="00622A96">
      <w:pPr>
        <w:autoSpaceDE w:val="0"/>
        <w:autoSpaceDN w:val="0"/>
        <w:adjustRightInd w:val="0"/>
        <w:ind w:left="720" w:hanging="360"/>
        <w:contextualSpacing/>
        <w:jc w:val="both"/>
        <w:rPr>
          <w:rFonts w:eastAsiaTheme="minorHAnsi"/>
          <w:color w:val="000000"/>
          <w:lang w:eastAsia="en-US"/>
        </w:rPr>
      </w:pPr>
      <w:r>
        <w:rPr>
          <w:rFonts w:eastAsiaTheme="minorHAnsi"/>
          <w:color w:val="000000"/>
          <w:lang w:eastAsia="en-US"/>
        </w:rPr>
        <w:t xml:space="preserve">6.      </w:t>
      </w:r>
      <w:r w:rsidR="00404964" w:rsidRPr="00404964">
        <w:rPr>
          <w:rFonts w:eastAsiaTheme="minorHAnsi"/>
          <w:color w:val="000000"/>
          <w:lang w:eastAsia="en-US"/>
        </w:rPr>
        <w:t>Formulari i deklaratës për mungesën e financimit të dyfishtë</w:t>
      </w:r>
      <w:r>
        <w:rPr>
          <w:rFonts w:eastAsiaTheme="minorHAnsi"/>
          <w:color w:val="000000"/>
          <w:lang w:eastAsia="en-US"/>
        </w:rPr>
        <w:t>;</w:t>
      </w:r>
    </w:p>
    <w:p w14:paraId="1DEB1C12" w14:textId="1A896331" w:rsidR="00622A96" w:rsidRDefault="00622A96" w:rsidP="00622A96">
      <w:pPr>
        <w:autoSpaceDE w:val="0"/>
        <w:autoSpaceDN w:val="0"/>
        <w:adjustRightInd w:val="0"/>
        <w:ind w:left="720" w:hanging="360"/>
        <w:contextualSpacing/>
        <w:jc w:val="both"/>
        <w:rPr>
          <w:rFonts w:eastAsiaTheme="minorHAnsi"/>
          <w:color w:val="000000"/>
          <w:lang w:eastAsia="en-US"/>
        </w:rPr>
      </w:pPr>
      <w:r>
        <w:rPr>
          <w:rFonts w:eastAsiaTheme="minorHAnsi"/>
          <w:color w:val="000000"/>
          <w:lang w:eastAsia="en-US"/>
        </w:rPr>
        <w:t xml:space="preserve">7.      </w:t>
      </w:r>
      <w:r w:rsidR="00EF13B5" w:rsidRPr="00EF13B5">
        <w:rPr>
          <w:rFonts w:eastAsiaTheme="minorHAnsi"/>
          <w:color w:val="000000"/>
          <w:lang w:eastAsia="en-US"/>
        </w:rPr>
        <w:t>Formular aplikimi për projekte ose programe të OJQ-ve të financuara nga burime publike</w:t>
      </w:r>
      <w:r>
        <w:rPr>
          <w:rFonts w:eastAsiaTheme="minorHAnsi"/>
          <w:color w:val="000000"/>
          <w:lang w:eastAsia="en-US"/>
        </w:rPr>
        <w:t>;</w:t>
      </w:r>
    </w:p>
    <w:p w14:paraId="5FA09B57" w14:textId="509A1F43" w:rsidR="00622A96" w:rsidRDefault="00622A96" w:rsidP="00622A96">
      <w:pPr>
        <w:autoSpaceDE w:val="0"/>
        <w:autoSpaceDN w:val="0"/>
        <w:adjustRightInd w:val="0"/>
        <w:ind w:left="720" w:hanging="360"/>
        <w:contextualSpacing/>
        <w:jc w:val="both"/>
        <w:rPr>
          <w:rFonts w:eastAsiaTheme="minorHAnsi"/>
          <w:color w:val="000000"/>
          <w:lang w:eastAsia="en-US"/>
        </w:rPr>
      </w:pPr>
      <w:r>
        <w:rPr>
          <w:rFonts w:eastAsiaTheme="minorHAnsi"/>
          <w:color w:val="000000"/>
          <w:lang w:eastAsia="en-US"/>
        </w:rPr>
        <w:t xml:space="preserve">8.      </w:t>
      </w:r>
      <w:r w:rsidR="00165BAA" w:rsidRPr="00165BAA">
        <w:rPr>
          <w:rFonts w:eastAsiaTheme="minorHAnsi"/>
          <w:color w:val="000000"/>
          <w:lang w:eastAsia="en-US"/>
        </w:rPr>
        <w:t>Formular deklarate mbi aktivitetet e përshkruara të programit/projektit</w:t>
      </w:r>
      <w:r>
        <w:rPr>
          <w:rFonts w:eastAsiaTheme="minorHAnsi"/>
          <w:color w:val="000000"/>
          <w:lang w:eastAsia="en-US"/>
        </w:rPr>
        <w:t>;</w:t>
      </w:r>
    </w:p>
    <w:p w14:paraId="2F745506" w14:textId="62297A4D" w:rsidR="00622A96" w:rsidRDefault="00622A96" w:rsidP="00622A96">
      <w:pPr>
        <w:autoSpaceDE w:val="0"/>
        <w:autoSpaceDN w:val="0"/>
        <w:adjustRightInd w:val="0"/>
        <w:ind w:left="720" w:hanging="360"/>
        <w:contextualSpacing/>
        <w:jc w:val="both"/>
        <w:rPr>
          <w:rFonts w:eastAsiaTheme="minorHAnsi"/>
          <w:color w:val="000000"/>
          <w:lang w:eastAsia="en-US"/>
        </w:rPr>
      </w:pPr>
      <w:r>
        <w:rPr>
          <w:rFonts w:eastAsiaTheme="minorHAnsi"/>
          <w:color w:val="000000"/>
          <w:lang w:eastAsia="en-US"/>
        </w:rPr>
        <w:t xml:space="preserve">9.      </w:t>
      </w:r>
      <w:r w:rsidR="003745B2" w:rsidRPr="003745B2">
        <w:rPr>
          <w:rFonts w:eastAsiaTheme="minorHAnsi"/>
          <w:color w:val="000000"/>
          <w:lang w:eastAsia="en-US"/>
        </w:rPr>
        <w:t>Deklarata vjetore për vitin 2023 dhe 2024, (nga ATK)</w:t>
      </w:r>
      <w:r>
        <w:rPr>
          <w:rFonts w:eastAsiaTheme="minorHAnsi"/>
          <w:color w:val="000000"/>
          <w:lang w:eastAsia="en-US"/>
        </w:rPr>
        <w:t>;</w:t>
      </w:r>
    </w:p>
    <w:p w14:paraId="1CEEA571" w14:textId="49212D42" w:rsidR="00622A96" w:rsidRDefault="00622A96" w:rsidP="00622A96">
      <w:pPr>
        <w:autoSpaceDE w:val="0"/>
        <w:autoSpaceDN w:val="0"/>
        <w:adjustRightInd w:val="0"/>
        <w:ind w:left="720" w:hanging="360"/>
        <w:contextualSpacing/>
        <w:jc w:val="both"/>
        <w:rPr>
          <w:rFonts w:eastAsiaTheme="minorHAnsi"/>
          <w:color w:val="000000"/>
          <w:lang w:eastAsia="en-US"/>
        </w:rPr>
      </w:pPr>
      <w:r>
        <w:rPr>
          <w:rFonts w:eastAsiaTheme="minorHAnsi"/>
          <w:color w:val="000000"/>
          <w:lang w:eastAsia="en-US"/>
        </w:rPr>
        <w:t xml:space="preserve">10.   </w:t>
      </w:r>
      <w:r w:rsidR="00455C5B" w:rsidRPr="00455C5B">
        <w:rPr>
          <w:rFonts w:eastAsiaTheme="minorHAnsi"/>
          <w:color w:val="000000"/>
          <w:lang w:eastAsia="en-US"/>
        </w:rPr>
        <w:t>Certifikatë nga Administrata Tatimore e Kosovës mbi gjendjen e borxhit publik të vlefshëm në datën e aplikimit, që konfirmon se aplikanti nuk ka borxhe aktuale tatimore të papaguara ose detyrime të tjera tatimore, ose se është në një marrëveshje për zgjidhjen e borxhit me ATK-në</w:t>
      </w:r>
      <w:r>
        <w:rPr>
          <w:rFonts w:eastAsiaTheme="minorHAnsi"/>
          <w:color w:val="000000"/>
          <w:lang w:eastAsia="en-US"/>
        </w:rPr>
        <w:t>; </w:t>
      </w:r>
    </w:p>
    <w:p w14:paraId="0A4DA6DD" w14:textId="7A1E992E" w:rsidR="00622A96" w:rsidRDefault="00622A96" w:rsidP="00622A96">
      <w:pPr>
        <w:autoSpaceDE w:val="0"/>
        <w:autoSpaceDN w:val="0"/>
        <w:adjustRightInd w:val="0"/>
        <w:ind w:left="720" w:hanging="360"/>
        <w:contextualSpacing/>
        <w:jc w:val="both"/>
        <w:rPr>
          <w:rFonts w:eastAsiaTheme="minorHAnsi"/>
          <w:color w:val="000000"/>
          <w:lang w:eastAsia="en-US"/>
        </w:rPr>
      </w:pPr>
      <w:r>
        <w:rPr>
          <w:rFonts w:eastAsiaTheme="minorHAnsi"/>
          <w:color w:val="000000"/>
          <w:lang w:eastAsia="en-US"/>
        </w:rPr>
        <w:t>11. </w:t>
      </w:r>
      <w:r w:rsidR="0053568C" w:rsidRPr="0053568C">
        <w:rPr>
          <w:rFonts w:eastAsiaTheme="minorHAnsi"/>
          <w:color w:val="000000"/>
          <w:lang w:eastAsia="en-US"/>
        </w:rPr>
        <w:t>OJQ-ja duhet të ofrojë prova se personi përgjegjës në OJQ dhe menaxheri i projektit nuk janë nën hetim për vepra penale para nënshkrimit të kontratës</w:t>
      </w:r>
      <w:r>
        <w:rPr>
          <w:rFonts w:eastAsiaTheme="minorHAnsi"/>
          <w:color w:val="000000"/>
          <w:lang w:eastAsia="en-US"/>
        </w:rPr>
        <w:t>;</w:t>
      </w:r>
    </w:p>
    <w:p w14:paraId="60071259" w14:textId="2C0D8D58" w:rsidR="00622A96" w:rsidRDefault="00622A96" w:rsidP="00622A96">
      <w:pPr>
        <w:autoSpaceDE w:val="0"/>
        <w:autoSpaceDN w:val="0"/>
        <w:adjustRightInd w:val="0"/>
        <w:ind w:left="720" w:hanging="360"/>
        <w:contextualSpacing/>
        <w:jc w:val="both"/>
        <w:rPr>
          <w:rFonts w:eastAsiaTheme="minorHAnsi"/>
          <w:color w:val="000000"/>
          <w:lang w:eastAsia="en-US"/>
        </w:rPr>
      </w:pPr>
      <w:r>
        <w:rPr>
          <w:color w:val="000000"/>
        </w:rPr>
        <w:lastRenderedPageBreak/>
        <w:t>12</w:t>
      </w:r>
      <w:r>
        <w:rPr>
          <w:rFonts w:eastAsiaTheme="minorHAnsi"/>
          <w:color w:val="000000"/>
          <w:lang w:eastAsia="en-US"/>
        </w:rPr>
        <w:t>.</w:t>
      </w:r>
      <w:r w:rsidR="00F87919" w:rsidRPr="00F87919">
        <w:t xml:space="preserve"> </w:t>
      </w:r>
      <w:r w:rsidR="00F87919" w:rsidRPr="00F87919">
        <w:rPr>
          <w:rFonts w:eastAsiaTheme="minorHAnsi"/>
          <w:color w:val="000000"/>
          <w:lang w:eastAsia="en-US"/>
        </w:rPr>
        <w:t>Konfirmim nga banka për një llogari aktive të organizatës joqeveritare para nënshkrimit të kontratës.</w:t>
      </w:r>
    </w:p>
    <w:p w14:paraId="0A57C4AA" w14:textId="77777777" w:rsidR="00622A96" w:rsidRDefault="00622A96" w:rsidP="00622A96">
      <w:pPr>
        <w:autoSpaceDE w:val="0"/>
        <w:autoSpaceDN w:val="0"/>
        <w:adjustRightInd w:val="0"/>
        <w:jc w:val="both"/>
        <w:rPr>
          <w:rFonts w:eastAsiaTheme="minorHAnsi"/>
          <w:color w:val="000000"/>
          <w:szCs w:val="22"/>
          <w:lang w:eastAsia="en-US"/>
        </w:rPr>
      </w:pPr>
    </w:p>
    <w:p w14:paraId="6420698C" w14:textId="75537E94" w:rsidR="00622A96" w:rsidRDefault="00D804DE" w:rsidP="00622A96">
      <w:pPr>
        <w:autoSpaceDE w:val="0"/>
        <w:autoSpaceDN w:val="0"/>
        <w:adjustRightInd w:val="0"/>
        <w:jc w:val="both"/>
        <w:rPr>
          <w:rFonts w:eastAsiaTheme="minorHAnsi"/>
          <w:color w:val="000000"/>
          <w:szCs w:val="22"/>
          <w:lang w:eastAsia="en-US"/>
        </w:rPr>
      </w:pPr>
      <w:r w:rsidRPr="00D804DE">
        <w:rPr>
          <w:rFonts w:eastAsiaTheme="minorHAnsi"/>
          <w:color w:val="000000"/>
          <w:szCs w:val="22"/>
          <w:lang w:eastAsia="en-US"/>
        </w:rPr>
        <w:t>Propozimet do të dorëzohen vetëm me formularët e duhur, të cilët së bashku me udhëzimet për aplikuesit janë të disponueshme në faqen e internetit të MKK-së</w:t>
      </w:r>
      <w:r w:rsidR="00622A96">
        <w:rPr>
          <w:rFonts w:eastAsiaTheme="minorHAnsi"/>
          <w:color w:val="000000"/>
          <w:szCs w:val="22"/>
          <w:lang w:eastAsia="en-US"/>
        </w:rPr>
        <w:t>.</w:t>
      </w:r>
    </w:p>
    <w:p w14:paraId="4A7E1E1D" w14:textId="77777777" w:rsidR="00622A96" w:rsidRDefault="00622A96" w:rsidP="00622A96">
      <w:pPr>
        <w:autoSpaceDE w:val="0"/>
        <w:autoSpaceDN w:val="0"/>
        <w:adjustRightInd w:val="0"/>
        <w:jc w:val="both"/>
        <w:rPr>
          <w:rFonts w:eastAsiaTheme="minorHAnsi"/>
          <w:color w:val="000000"/>
          <w:szCs w:val="22"/>
          <w:lang w:eastAsia="en-US"/>
        </w:rPr>
      </w:pPr>
    </w:p>
    <w:p w14:paraId="63561AD8" w14:textId="27A3AC7F" w:rsidR="00622A96" w:rsidRDefault="00B82ABC" w:rsidP="00622A96">
      <w:pPr>
        <w:pStyle w:val="ListParagraph"/>
        <w:numPr>
          <w:ilvl w:val="0"/>
          <w:numId w:val="26"/>
        </w:numPr>
        <w:autoSpaceDE w:val="0"/>
        <w:autoSpaceDN w:val="0"/>
        <w:adjustRightInd w:val="0"/>
        <w:spacing w:after="0" w:line="240" w:lineRule="auto"/>
        <w:jc w:val="both"/>
        <w:rPr>
          <w:rFonts w:ascii="Book Antiqua" w:hAnsi="Book Antiqua" w:cs="BookAntiqua"/>
          <w:b/>
          <w:color w:val="000000"/>
          <w:lang w:val="sr-Latn-CS"/>
        </w:rPr>
      </w:pPr>
      <w:r w:rsidRPr="00B82ABC">
        <w:rPr>
          <w:rFonts w:ascii="Book Antiqua" w:hAnsi="Book Antiqua" w:cs="BookAntiqua"/>
          <w:b/>
          <w:color w:val="000000"/>
          <w:lang w:val="sr-Latn-CS"/>
        </w:rPr>
        <w:t>Dorëzimi i aplikimeve</w:t>
      </w:r>
    </w:p>
    <w:p w14:paraId="7950C847" w14:textId="77777777" w:rsidR="00622A96" w:rsidRDefault="00622A96" w:rsidP="00622A96">
      <w:pPr>
        <w:pStyle w:val="ListParagraph"/>
        <w:autoSpaceDE w:val="0"/>
        <w:autoSpaceDN w:val="0"/>
        <w:adjustRightInd w:val="0"/>
        <w:jc w:val="both"/>
        <w:rPr>
          <w:rFonts w:ascii="Book Antiqua" w:hAnsi="Book Antiqua" w:cs="BookAntiqua"/>
          <w:b/>
          <w:color w:val="000000"/>
          <w:lang w:val="sr-Latn-CS"/>
        </w:rPr>
      </w:pPr>
    </w:p>
    <w:p w14:paraId="2B2036A4" w14:textId="7D3A5F7C" w:rsidR="00622A96" w:rsidRDefault="00B82ABC" w:rsidP="00622A96">
      <w:pPr>
        <w:autoSpaceDE w:val="0"/>
        <w:autoSpaceDN w:val="0"/>
        <w:adjustRightInd w:val="0"/>
        <w:jc w:val="both"/>
        <w:rPr>
          <w:rFonts w:eastAsiaTheme="minorHAnsi"/>
          <w:color w:val="000000"/>
          <w:szCs w:val="22"/>
          <w:lang w:eastAsia="en-US"/>
        </w:rPr>
      </w:pPr>
      <w:r w:rsidRPr="00B82ABC">
        <w:rPr>
          <w:rFonts w:eastAsiaTheme="minorHAnsi"/>
          <w:color w:val="000000"/>
          <w:szCs w:val="22"/>
          <w:lang w:eastAsia="en-US"/>
        </w:rPr>
        <w:t>Aplikimet dorëzohen në një zarf të mbyllur, me një kopje të shtypur të të gjithë dokumentacionit origjinal të kërkuar, si dhe një kopje elektronike në CD, të vendosur brenda zarfit.</w:t>
      </w:r>
    </w:p>
    <w:p w14:paraId="0DDD0C52" w14:textId="77777777" w:rsidR="00622A96" w:rsidRDefault="00622A96" w:rsidP="00622A96">
      <w:pPr>
        <w:autoSpaceDE w:val="0"/>
        <w:autoSpaceDN w:val="0"/>
        <w:adjustRightInd w:val="0"/>
        <w:jc w:val="both"/>
        <w:rPr>
          <w:rFonts w:eastAsiaTheme="minorHAnsi"/>
          <w:color w:val="000000"/>
          <w:szCs w:val="22"/>
          <w:lang w:eastAsia="en-US"/>
        </w:rPr>
      </w:pPr>
    </w:p>
    <w:p w14:paraId="742E57FD" w14:textId="77777777" w:rsidR="00622A96" w:rsidRDefault="00622A96" w:rsidP="00622A96">
      <w:pPr>
        <w:autoSpaceDE w:val="0"/>
        <w:autoSpaceDN w:val="0"/>
        <w:adjustRightInd w:val="0"/>
        <w:jc w:val="both"/>
        <w:rPr>
          <w:rFonts w:ascii="Book Antiqua" w:eastAsiaTheme="minorHAnsi" w:hAnsi="Book Antiqua" w:cs="BookAntiqua"/>
          <w:color w:val="000000"/>
          <w:sz w:val="22"/>
          <w:szCs w:val="22"/>
          <w:lang w:val="sr-Latn-CS" w:eastAsia="en-US"/>
        </w:rPr>
      </w:pPr>
    </w:p>
    <w:p w14:paraId="30F27993" w14:textId="77777777" w:rsidR="00622A96" w:rsidRDefault="00622A96" w:rsidP="00622A96">
      <w:pPr>
        <w:autoSpaceDE w:val="0"/>
        <w:autoSpaceDN w:val="0"/>
        <w:adjustRightInd w:val="0"/>
        <w:jc w:val="both"/>
        <w:rPr>
          <w:rFonts w:ascii="Book Antiqua" w:eastAsiaTheme="minorHAnsi" w:hAnsi="Book Antiqua" w:cs="BookAntiqua"/>
          <w:color w:val="000000"/>
          <w:sz w:val="22"/>
          <w:szCs w:val="22"/>
          <w:lang w:val="sr-Latn-CS" w:eastAsia="en-US"/>
        </w:rPr>
      </w:pPr>
    </w:p>
    <w:p w14:paraId="612ECF32" w14:textId="77777777" w:rsidR="00622A96" w:rsidRDefault="00622A96" w:rsidP="00622A96">
      <w:pPr>
        <w:autoSpaceDE w:val="0"/>
        <w:autoSpaceDN w:val="0"/>
        <w:adjustRightInd w:val="0"/>
        <w:jc w:val="both"/>
        <w:rPr>
          <w:rFonts w:ascii="Book Antiqua" w:eastAsiaTheme="minorHAnsi" w:hAnsi="Book Antiqua" w:cs="BookAntiqua"/>
          <w:color w:val="000000"/>
          <w:sz w:val="22"/>
          <w:szCs w:val="22"/>
          <w:lang w:val="sr-Latn-CS" w:eastAsia="en-US"/>
        </w:rPr>
      </w:pPr>
    </w:p>
    <w:p w14:paraId="5BCFA65A" w14:textId="77777777" w:rsidR="00622A96" w:rsidRDefault="00622A96" w:rsidP="00622A96">
      <w:pPr>
        <w:autoSpaceDE w:val="0"/>
        <w:autoSpaceDN w:val="0"/>
        <w:adjustRightInd w:val="0"/>
        <w:jc w:val="both"/>
        <w:rPr>
          <w:rFonts w:ascii="Book Antiqua" w:eastAsiaTheme="minorHAnsi" w:hAnsi="Book Antiqua" w:cs="BookAntiqua"/>
          <w:color w:val="000000"/>
          <w:sz w:val="22"/>
          <w:szCs w:val="22"/>
          <w:lang w:val="sr-Latn-CS" w:eastAsia="en-US"/>
        </w:rPr>
      </w:pPr>
    </w:p>
    <w:p w14:paraId="482DA7D5" w14:textId="2C097CB1" w:rsidR="00622A96" w:rsidRDefault="009D23E0" w:rsidP="00622A96">
      <w:pPr>
        <w:autoSpaceDE w:val="0"/>
        <w:autoSpaceDN w:val="0"/>
        <w:adjustRightInd w:val="0"/>
        <w:jc w:val="both"/>
        <w:rPr>
          <w:rFonts w:ascii="Book Antiqua" w:eastAsiaTheme="minorHAnsi" w:hAnsi="Book Antiqua" w:cs="BookAntiqua"/>
          <w:color w:val="000000"/>
          <w:sz w:val="22"/>
          <w:szCs w:val="22"/>
          <w:lang w:val="sr-Latn-CS" w:eastAsia="en-US"/>
        </w:rPr>
      </w:pPr>
      <w:r w:rsidRPr="009D23E0">
        <w:rPr>
          <w:rFonts w:ascii="Book Antiqua" w:eastAsiaTheme="minorHAnsi" w:hAnsi="Book Antiqua" w:cs="BookAntiqua"/>
          <w:color w:val="000000"/>
          <w:sz w:val="22"/>
          <w:szCs w:val="22"/>
          <w:lang w:val="sr-Latn-CS" w:eastAsia="en-US"/>
        </w:rPr>
        <w:t>Dokumentet e plotësuara mund të dërgohen me postë ose të dorëzohen fizikisht në adresën e mëposhtme</w:t>
      </w:r>
      <w:r w:rsidR="00622A96">
        <w:rPr>
          <w:rFonts w:ascii="Book Antiqua" w:eastAsiaTheme="minorHAnsi" w:hAnsi="Book Antiqua" w:cs="BookAntiqua"/>
          <w:color w:val="000000"/>
          <w:sz w:val="22"/>
          <w:szCs w:val="22"/>
          <w:lang w:val="sr-Latn-CS" w:eastAsia="en-US"/>
        </w:rPr>
        <w:t>:</w:t>
      </w:r>
    </w:p>
    <w:p w14:paraId="1A8C67C1" w14:textId="77777777" w:rsidR="00622A96" w:rsidRDefault="00622A96" w:rsidP="00622A96">
      <w:pPr>
        <w:autoSpaceDE w:val="0"/>
        <w:autoSpaceDN w:val="0"/>
        <w:adjustRightInd w:val="0"/>
        <w:jc w:val="both"/>
        <w:rPr>
          <w:rFonts w:ascii="Book Antiqua" w:eastAsiaTheme="minorHAnsi" w:hAnsi="Book Antiqua" w:cs="BookAntiqua"/>
          <w:b/>
          <w:color w:val="000000"/>
          <w:sz w:val="22"/>
          <w:szCs w:val="22"/>
          <w:lang w:val="sr-Latn-CS" w:eastAsia="en-US"/>
        </w:rPr>
      </w:pPr>
      <w:r>
        <w:rPr>
          <w:noProof/>
          <w:lang w:val="en-US" w:eastAsia="en-US"/>
        </w:rPr>
        <mc:AlternateContent>
          <mc:Choice Requires="wps">
            <w:drawing>
              <wp:anchor distT="0" distB="0" distL="114300" distR="114300" simplePos="0" relativeHeight="251662336" behindDoc="0" locked="0" layoutInCell="1" allowOverlap="1" wp14:anchorId="7B592841" wp14:editId="266A46A4">
                <wp:simplePos x="0" y="0"/>
                <wp:positionH relativeFrom="column">
                  <wp:posOffset>850265</wp:posOffset>
                </wp:positionH>
                <wp:positionV relativeFrom="paragraph">
                  <wp:posOffset>41910</wp:posOffset>
                </wp:positionV>
                <wp:extent cx="3886200" cy="1195070"/>
                <wp:effectExtent l="0" t="0" r="19050" b="24130"/>
                <wp:wrapThrough wrapText="bothSides">
                  <wp:wrapPolygon edited="0">
                    <wp:start x="0" y="0"/>
                    <wp:lineTo x="0" y="21692"/>
                    <wp:lineTo x="21600" y="21692"/>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886200" cy="1195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A3F9D" w14:textId="485EBD27" w:rsidR="00F71547" w:rsidRPr="00F71547" w:rsidRDefault="00F71547" w:rsidP="00F71547">
                            <w:pPr>
                              <w:jc w:val="center"/>
                              <w:rPr>
                                <w:rFonts w:ascii="Book Antiqua" w:hAnsi="Book Antiqua"/>
                                <w:color w:val="000000" w:themeColor="text1"/>
                              </w:rPr>
                            </w:pPr>
                            <w:r w:rsidRPr="00F71547">
                              <w:rPr>
                                <w:rFonts w:ascii="Book Antiqua" w:hAnsi="Book Antiqua"/>
                                <w:color w:val="000000" w:themeColor="text1"/>
                              </w:rPr>
                              <w:t>Ministria për Komunitete dhe Kthim, Rruga Nënë Tereza, 12000 Fushë Kosovë/Kosovë</w:t>
                            </w:r>
                          </w:p>
                          <w:p w14:paraId="6CEE53EB" w14:textId="44674213" w:rsidR="00622A96" w:rsidRDefault="00F71547" w:rsidP="00F71547">
                            <w:pPr>
                              <w:jc w:val="center"/>
                              <w:rPr>
                                <w:rFonts w:ascii="Book Antiqua" w:hAnsi="Book Antiqua"/>
                                <w:color w:val="000000" w:themeColor="text1"/>
                                <w:sz w:val="22"/>
                                <w:szCs w:val="22"/>
                                <w:lang w:val="sr-Latn-CS"/>
                              </w:rPr>
                            </w:pPr>
                            <w:r w:rsidRPr="00F71547">
                              <w:rPr>
                                <w:rFonts w:ascii="Book Antiqua" w:hAnsi="Book Antiqua"/>
                                <w:color w:val="000000" w:themeColor="text1"/>
                              </w:rPr>
                              <w:t>Zyra e Arkivit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592841" id="Rectangle 2" o:spid="_x0000_s1026" style="position:absolute;left:0;text-align:left;margin-left:66.95pt;margin-top:3.3pt;width:306pt;height:9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" filled="f" strokecolor="black [3213]" strokeweight="2pt">
                <v:textbox>
                  <w:txbxContent>
                    <w:p w14:paraId="3DFA3F9D" w14:textId="485EBD27" w:rsidR="00F71547" w:rsidRPr="00F71547" w:rsidRDefault="00F71547" w:rsidP="00F71547">
                      <w:pPr>
                        <w:jc w:val="center"/>
                        <w:rPr>
                          <w:rFonts w:ascii="Book Antiqua" w:hAnsi="Book Antiqua"/>
                          <w:color w:val="000000" w:themeColor="text1"/>
                        </w:rPr>
                      </w:pPr>
                      <w:r w:rsidRPr="00F71547">
                        <w:rPr>
                          <w:rFonts w:ascii="Book Antiqua" w:hAnsi="Book Antiqua"/>
                          <w:color w:val="000000" w:themeColor="text1"/>
                        </w:rPr>
                        <w:t>Ministria për Komunitete dhe Kthim, Rruga Nënë Tereza, 12000 Fushë Kosovë/Kosovë</w:t>
                      </w:r>
                    </w:p>
                    <w:p w14:paraId="6CEE53EB" w14:textId="44674213" w:rsidR="00622A96" w:rsidRDefault="00F71547" w:rsidP="00F71547">
                      <w:pPr>
                        <w:jc w:val="center"/>
                        <w:rPr>
                          <w:rFonts w:ascii="Book Antiqua" w:hAnsi="Book Antiqua"/>
                          <w:color w:val="000000" w:themeColor="text1"/>
                          <w:sz w:val="22"/>
                          <w:szCs w:val="22"/>
                          <w:lang w:val="sr-Latn-CS"/>
                        </w:rPr>
                      </w:pPr>
                      <w:r w:rsidRPr="00F71547">
                        <w:rPr>
                          <w:rFonts w:ascii="Book Antiqua" w:hAnsi="Book Antiqua"/>
                          <w:color w:val="000000" w:themeColor="text1"/>
                        </w:rPr>
                        <w:t>Zyra e Arkivit</w:t>
                      </w:r>
                    </w:p>
                  </w:txbxContent>
                </v:textbox>
                <w10:wrap type="through"/>
              </v:rect>
            </w:pict>
          </mc:Fallback>
        </mc:AlternateContent>
      </w:r>
    </w:p>
    <w:p w14:paraId="177514A2" w14:textId="77777777" w:rsidR="00622A96" w:rsidRDefault="00622A96" w:rsidP="00622A96">
      <w:pPr>
        <w:autoSpaceDE w:val="0"/>
        <w:autoSpaceDN w:val="0"/>
        <w:adjustRightInd w:val="0"/>
        <w:jc w:val="both"/>
        <w:rPr>
          <w:rFonts w:ascii="Book Antiqua" w:eastAsiaTheme="minorHAnsi" w:hAnsi="Book Antiqua" w:cs="BookAntiqua"/>
          <w:b/>
          <w:color w:val="000000"/>
          <w:sz w:val="22"/>
          <w:szCs w:val="22"/>
          <w:lang w:val="sr-Latn-CS" w:eastAsia="en-US"/>
        </w:rPr>
      </w:pPr>
    </w:p>
    <w:p w14:paraId="01A54334" w14:textId="77777777" w:rsidR="00622A96" w:rsidRDefault="00622A96" w:rsidP="00622A96">
      <w:pPr>
        <w:autoSpaceDE w:val="0"/>
        <w:autoSpaceDN w:val="0"/>
        <w:adjustRightInd w:val="0"/>
        <w:jc w:val="both"/>
        <w:rPr>
          <w:rFonts w:ascii="Book Antiqua" w:eastAsiaTheme="minorHAnsi" w:hAnsi="Book Antiqua" w:cs="BookAntiqua"/>
          <w:b/>
          <w:color w:val="000000"/>
          <w:sz w:val="22"/>
          <w:szCs w:val="22"/>
          <w:lang w:val="sr-Latn-CS" w:eastAsia="en-US"/>
        </w:rPr>
      </w:pPr>
    </w:p>
    <w:p w14:paraId="3C0FC5C8" w14:textId="77777777" w:rsidR="00622A96" w:rsidRDefault="00622A96" w:rsidP="00622A96">
      <w:pPr>
        <w:autoSpaceDE w:val="0"/>
        <w:autoSpaceDN w:val="0"/>
        <w:adjustRightInd w:val="0"/>
        <w:jc w:val="both"/>
        <w:rPr>
          <w:rFonts w:ascii="Book Antiqua" w:eastAsiaTheme="minorHAnsi" w:hAnsi="Book Antiqua" w:cs="BookAntiqua"/>
          <w:b/>
          <w:color w:val="000000"/>
          <w:sz w:val="22"/>
          <w:szCs w:val="22"/>
          <w:lang w:val="sr-Latn-CS" w:eastAsia="en-US"/>
        </w:rPr>
      </w:pPr>
    </w:p>
    <w:p w14:paraId="442363B9" w14:textId="77777777" w:rsidR="00622A96" w:rsidRDefault="00622A96" w:rsidP="00622A96">
      <w:pPr>
        <w:autoSpaceDE w:val="0"/>
        <w:autoSpaceDN w:val="0"/>
        <w:adjustRightInd w:val="0"/>
        <w:jc w:val="both"/>
        <w:rPr>
          <w:rFonts w:ascii="Book Antiqua" w:eastAsiaTheme="minorHAnsi" w:hAnsi="Book Antiqua" w:cs="BookAntiqua"/>
          <w:b/>
          <w:color w:val="000000"/>
          <w:sz w:val="22"/>
          <w:szCs w:val="22"/>
          <w:lang w:val="sr-Latn-CS" w:eastAsia="en-US"/>
        </w:rPr>
      </w:pPr>
    </w:p>
    <w:p w14:paraId="1CB57BE3" w14:textId="77777777" w:rsidR="00622A96" w:rsidRDefault="00622A96" w:rsidP="00622A96">
      <w:pPr>
        <w:autoSpaceDE w:val="0"/>
        <w:autoSpaceDN w:val="0"/>
        <w:adjustRightInd w:val="0"/>
        <w:jc w:val="both"/>
        <w:rPr>
          <w:rFonts w:ascii="Book Antiqua" w:hAnsi="Book Antiqua" w:cs="BookAntiqua"/>
          <w:color w:val="000000"/>
          <w:lang w:val="sr-Latn-RS"/>
        </w:rPr>
      </w:pPr>
    </w:p>
    <w:p w14:paraId="795E7878" w14:textId="77777777" w:rsidR="00622A96" w:rsidRDefault="00622A96" w:rsidP="00622A96">
      <w:pPr>
        <w:autoSpaceDE w:val="0"/>
        <w:autoSpaceDN w:val="0"/>
        <w:adjustRightInd w:val="0"/>
        <w:jc w:val="both"/>
        <w:rPr>
          <w:rFonts w:ascii="Book Antiqua" w:hAnsi="Book Antiqua" w:cs="BookAntiqua"/>
          <w:color w:val="000000"/>
          <w:lang w:val="sr-Latn-RS"/>
        </w:rPr>
      </w:pPr>
    </w:p>
    <w:p w14:paraId="38409EF6" w14:textId="77777777" w:rsidR="00622A96" w:rsidRDefault="00622A96" w:rsidP="00622A96">
      <w:pPr>
        <w:autoSpaceDE w:val="0"/>
        <w:autoSpaceDN w:val="0"/>
        <w:adjustRightInd w:val="0"/>
        <w:jc w:val="both"/>
        <w:rPr>
          <w:rFonts w:ascii="Book Antiqua" w:hAnsi="Book Antiqua" w:cs="BookAntiqua"/>
          <w:color w:val="000000"/>
          <w:lang w:val="sr-Latn-RS"/>
        </w:rPr>
      </w:pPr>
    </w:p>
    <w:p w14:paraId="221F1784" w14:textId="7567B4C5" w:rsidR="00622A96" w:rsidRDefault="006F3848" w:rsidP="00622A96">
      <w:pPr>
        <w:autoSpaceDE w:val="0"/>
        <w:autoSpaceDN w:val="0"/>
        <w:adjustRightInd w:val="0"/>
        <w:jc w:val="both"/>
        <w:rPr>
          <w:rFonts w:ascii="Book Antiqua" w:hAnsi="Book Antiqua" w:cs="BookAntiqua"/>
          <w:color w:val="000000"/>
          <w:lang w:val="sr-Latn-RS"/>
        </w:rPr>
      </w:pPr>
      <w:r w:rsidRPr="006F3848">
        <w:rPr>
          <w:rFonts w:ascii="Book Antiqua" w:hAnsi="Book Antiqua" w:cs="BookAntiqua"/>
          <w:color w:val="000000"/>
          <w:lang w:val="sr-Latn-RS"/>
        </w:rPr>
        <w:t>Vetëm projektet që pranohen brenda afatit të përcaktuar nga kjo thirrje publike do të merren në konsideratë për mbështetje financiare dhe që i kanë përmbushur plotësisht kushtet e përcaktuara të thirrjes publike.</w:t>
      </w:r>
    </w:p>
    <w:p w14:paraId="1DD5D5C2" w14:textId="77777777" w:rsidR="00622A96" w:rsidRDefault="00622A96" w:rsidP="00622A96">
      <w:pPr>
        <w:autoSpaceDE w:val="0"/>
        <w:autoSpaceDN w:val="0"/>
        <w:adjustRightInd w:val="0"/>
        <w:jc w:val="both"/>
        <w:rPr>
          <w:rFonts w:ascii="Book Antiqua" w:eastAsiaTheme="minorHAnsi" w:hAnsi="Book Antiqua" w:cs="BookAntiqua"/>
          <w:color w:val="000000"/>
          <w:sz w:val="22"/>
          <w:szCs w:val="22"/>
          <w:lang w:val="sr-Latn-CS" w:eastAsia="en-US"/>
        </w:rPr>
      </w:pPr>
    </w:p>
    <w:p w14:paraId="2F762CCC" w14:textId="77777777" w:rsidR="00622A96" w:rsidRDefault="00622A96" w:rsidP="00622A96">
      <w:pPr>
        <w:pStyle w:val="ListParagraph"/>
        <w:numPr>
          <w:ilvl w:val="0"/>
          <w:numId w:val="26"/>
        </w:numPr>
        <w:autoSpaceDE w:val="0"/>
        <w:autoSpaceDN w:val="0"/>
        <w:adjustRightInd w:val="0"/>
        <w:spacing w:after="0" w:line="240" w:lineRule="auto"/>
        <w:jc w:val="both"/>
        <w:rPr>
          <w:rFonts w:ascii="Book Antiqua" w:hAnsi="Book Antiqua" w:cs="BookAntiqua"/>
          <w:b/>
          <w:color w:val="000000"/>
          <w:lang w:val="sr-Latn-CS"/>
        </w:rPr>
      </w:pPr>
      <w:r>
        <w:rPr>
          <w:rFonts w:ascii="Book Antiqua" w:hAnsi="Book Antiqua" w:cs="BookAntiqua"/>
          <w:b/>
          <w:color w:val="000000"/>
          <w:lang w:val="sr-Latn-CS"/>
        </w:rPr>
        <w:t xml:space="preserve">Kontakt </w:t>
      </w:r>
    </w:p>
    <w:p w14:paraId="63A16639" w14:textId="2FE81C5F" w:rsidR="00622A96" w:rsidRDefault="005C7452" w:rsidP="00622A96">
      <w:pPr>
        <w:autoSpaceDE w:val="0"/>
        <w:autoSpaceDN w:val="0"/>
        <w:adjustRightInd w:val="0"/>
        <w:jc w:val="both"/>
        <w:rPr>
          <w:rFonts w:ascii="Book Antiqua" w:hAnsi="Book Antiqua"/>
          <w:color w:val="0D0D0D"/>
          <w:lang w:val="sr-Latn-RS"/>
        </w:rPr>
      </w:pPr>
      <w:r w:rsidRPr="005C7452">
        <w:rPr>
          <w:rFonts w:ascii="Book Antiqua" w:hAnsi="Book Antiqua"/>
          <w:color w:val="0D0D0D"/>
          <w:lang w:val="sr-Latn-RS"/>
        </w:rPr>
        <w:t>Të gjitha pyetjet në lidhje me thirrjen mund të dorëzohen ekskluzivisht në mënyrë elektronike në adresën e mëposhtme: request.mkk.mzp.mzp@rks-gov.net jo më vonë se data 04.11.2025. Përgjigjet do të kthehen në formë elektronike dhe do të publikohen në faqen zyrtare të internetit të MKK-së më datë 07.11.2025.</w:t>
      </w:r>
      <w:r w:rsidR="00622A96">
        <w:rPr>
          <w:rFonts w:ascii="Book Antiqua" w:hAnsi="Book Antiqua"/>
          <w:color w:val="0D0D0D"/>
        </w:rPr>
        <w:t xml:space="preserve"> </w:t>
      </w:r>
    </w:p>
    <w:p w14:paraId="41DB89ED" w14:textId="77777777" w:rsidR="00622A96" w:rsidRDefault="00622A96" w:rsidP="00622A96">
      <w:pPr>
        <w:autoSpaceDE w:val="0"/>
        <w:autoSpaceDN w:val="0"/>
        <w:adjustRightInd w:val="0"/>
        <w:jc w:val="both"/>
        <w:rPr>
          <w:rFonts w:ascii="Book Antiqua" w:eastAsiaTheme="minorHAnsi" w:hAnsi="Book Antiqua" w:cs="BookAntiqua"/>
          <w:color w:val="0562C2"/>
          <w:sz w:val="22"/>
          <w:szCs w:val="22"/>
          <w:lang w:val="sr-Latn-CS" w:eastAsia="en-US"/>
        </w:rPr>
      </w:pPr>
      <w:r>
        <w:rPr>
          <w:rFonts w:ascii="Book Antiqua" w:eastAsiaTheme="minorHAnsi" w:hAnsi="Book Antiqua" w:cs="BookAntiqua"/>
          <w:sz w:val="22"/>
          <w:szCs w:val="22"/>
          <w:lang w:val="sr-Latn-CS" w:eastAsia="en-US"/>
        </w:rPr>
        <w:t xml:space="preserve"> </w:t>
      </w:r>
    </w:p>
    <w:p w14:paraId="1E470E2F" w14:textId="09748EC3" w:rsidR="00622A96" w:rsidRDefault="00F9587A" w:rsidP="00622A96">
      <w:pPr>
        <w:pStyle w:val="ListParagraph"/>
        <w:numPr>
          <w:ilvl w:val="0"/>
          <w:numId w:val="26"/>
        </w:numPr>
        <w:autoSpaceDE w:val="0"/>
        <w:autoSpaceDN w:val="0"/>
        <w:adjustRightInd w:val="0"/>
        <w:spacing w:after="0" w:line="240" w:lineRule="auto"/>
        <w:jc w:val="both"/>
        <w:rPr>
          <w:rFonts w:ascii="Book Antiqua" w:hAnsi="Book Antiqua" w:cs="BookAntiqua"/>
          <w:b/>
          <w:color w:val="000000"/>
          <w:lang w:val="sr-Latn-CS"/>
        </w:rPr>
      </w:pPr>
      <w:r w:rsidRPr="00F9587A">
        <w:rPr>
          <w:rFonts w:ascii="Book Antiqua" w:hAnsi="Book Antiqua" w:cs="BookAntiqua"/>
          <w:b/>
          <w:color w:val="000000"/>
          <w:lang w:val="sr-Latn-CS"/>
        </w:rPr>
        <w:t>Udhëzime për aplikantët</w:t>
      </w:r>
    </w:p>
    <w:p w14:paraId="26F7E6AF" w14:textId="2B9D86BB" w:rsidR="00622A96" w:rsidRDefault="00F9587A" w:rsidP="00622A96">
      <w:pPr>
        <w:autoSpaceDE w:val="0"/>
        <w:autoSpaceDN w:val="0"/>
        <w:adjustRightInd w:val="0"/>
        <w:jc w:val="both"/>
        <w:rPr>
          <w:rFonts w:ascii="Book Antiqua" w:eastAsiaTheme="minorHAnsi" w:hAnsi="Book Antiqua" w:cs="BookAntiqua"/>
          <w:color w:val="000000"/>
          <w:sz w:val="22"/>
          <w:szCs w:val="22"/>
          <w:lang w:val="sr-Latn-CS" w:eastAsia="en-US"/>
        </w:rPr>
      </w:pPr>
      <w:r w:rsidRPr="00F9587A">
        <w:rPr>
          <w:rFonts w:ascii="Book Antiqua" w:eastAsiaTheme="minorHAnsi" w:hAnsi="Book Antiqua" w:cs="BookAntiqua"/>
          <w:color w:val="000000"/>
          <w:sz w:val="22"/>
          <w:szCs w:val="22"/>
          <w:lang w:val="sr-Latn-CS" w:eastAsia="en-US"/>
        </w:rPr>
        <w:t>Së bashku me këtë thirrje publike, publikohen Udhëzimet për Aplikantët për informacion më të detajuar në lidhje me thirrjen publike.</w:t>
      </w:r>
      <w:bookmarkStart w:id="0" w:name="_GoBack"/>
      <w:bookmarkEnd w:id="0"/>
    </w:p>
    <w:p w14:paraId="0F59979A" w14:textId="77777777" w:rsidR="00584B72" w:rsidRPr="008612F0" w:rsidRDefault="00584B72" w:rsidP="00584B72">
      <w:pPr>
        <w:jc w:val="both"/>
        <w:rPr>
          <w:u w:val="single"/>
        </w:rPr>
      </w:pPr>
    </w:p>
    <w:sectPr w:rsidR="00584B72" w:rsidRPr="008612F0" w:rsidSect="00A61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C3F8F" w14:textId="77777777" w:rsidR="00AD51B2" w:rsidRDefault="00AD51B2" w:rsidP="004C7358">
      <w:r>
        <w:separator/>
      </w:r>
    </w:p>
  </w:endnote>
  <w:endnote w:type="continuationSeparator" w:id="0">
    <w:p w14:paraId="1737CD5E" w14:textId="77777777" w:rsidR="00AD51B2" w:rsidRDefault="00AD51B2" w:rsidP="004C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Antiqua,Bold">
    <w:altName w:val="Calibri"/>
    <w:panose1 w:val="00000000000000000000"/>
    <w:charset w:val="00"/>
    <w:family w:val="auto"/>
    <w:notTrueType/>
    <w:pitch w:val="default"/>
    <w:sig w:usb0="00000003" w:usb1="00000000" w:usb2="00000000" w:usb3="00000000" w:csb0="00000001" w:csb1="00000000"/>
  </w:font>
  <w:font w:name="BookAntiqua">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81B33" w14:textId="77777777" w:rsidR="00AD51B2" w:rsidRDefault="00AD51B2" w:rsidP="004C7358">
      <w:r>
        <w:separator/>
      </w:r>
    </w:p>
  </w:footnote>
  <w:footnote w:type="continuationSeparator" w:id="0">
    <w:p w14:paraId="530DC2DF" w14:textId="77777777" w:rsidR="00AD51B2" w:rsidRDefault="00AD51B2" w:rsidP="004C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6FD7"/>
    <w:multiLevelType w:val="hybridMultilevel"/>
    <w:tmpl w:val="D042F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24C88"/>
    <w:multiLevelType w:val="hybridMultilevel"/>
    <w:tmpl w:val="495CCF7E"/>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2" w15:restartNumberingAfterBreak="0">
    <w:nsid w:val="0546053C"/>
    <w:multiLevelType w:val="hybridMultilevel"/>
    <w:tmpl w:val="F0D6F5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E0737"/>
    <w:multiLevelType w:val="hybridMultilevel"/>
    <w:tmpl w:val="050C1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B313C"/>
    <w:multiLevelType w:val="hybridMultilevel"/>
    <w:tmpl w:val="58F07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E2F82"/>
    <w:multiLevelType w:val="hybridMultilevel"/>
    <w:tmpl w:val="1B6C3DDE"/>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6" w15:restartNumberingAfterBreak="0">
    <w:nsid w:val="1AE15723"/>
    <w:multiLevelType w:val="hybridMultilevel"/>
    <w:tmpl w:val="91584A9A"/>
    <w:lvl w:ilvl="0" w:tplc="5F9AF53C">
      <w:start w:val="2"/>
      <w:numFmt w:val="decimal"/>
      <w:lvlText w:val="%1."/>
      <w:lvlJc w:val="left"/>
      <w:pPr>
        <w:ind w:left="1080" w:hanging="360"/>
      </w:pPr>
      <w:rPr>
        <w:rFonts w:hint="default"/>
      </w:rPr>
    </w:lvl>
    <w:lvl w:ilvl="1" w:tplc="E8E2DEDC">
      <w:numFmt w:val="bullet"/>
      <w:lvlText w:val="-"/>
      <w:lvlJc w:val="left"/>
      <w:pPr>
        <w:ind w:left="1800" w:hanging="360"/>
      </w:pPr>
      <w:rPr>
        <w:rFonts w:ascii="Calibri" w:eastAsiaTheme="minorHAnsi" w:hAnsi="Calibri" w:cs="Calibri" w:hint="default"/>
      </w:rPr>
    </w:lvl>
    <w:lvl w:ilvl="2" w:tplc="DA94E432">
      <w:numFmt w:val="bullet"/>
      <w:lvlText w:val=""/>
      <w:lvlJc w:val="left"/>
      <w:pPr>
        <w:ind w:left="2700" w:hanging="360"/>
      </w:pPr>
      <w:rPr>
        <w:rFonts w:ascii="Symbol" w:eastAsiaTheme="minorHAnsi" w:hAnsi="Symbol" w:cstheme="minorHAnsi" w:hint="default"/>
      </w:rPr>
    </w:lvl>
    <w:lvl w:ilvl="3" w:tplc="5FF82BB2">
      <w:numFmt w:val="bullet"/>
      <w:lvlText w:val="•"/>
      <w:lvlJc w:val="left"/>
      <w:pPr>
        <w:ind w:left="3240" w:hanging="360"/>
      </w:pPr>
      <w:rPr>
        <w:rFonts w:ascii="Calibri" w:eastAsiaTheme="minorHAns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2F1172"/>
    <w:multiLevelType w:val="multilevel"/>
    <w:tmpl w:val="CFDA92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2F1"/>
    <w:multiLevelType w:val="hybridMultilevel"/>
    <w:tmpl w:val="15944580"/>
    <w:lvl w:ilvl="0" w:tplc="041C0001">
      <w:start w:val="1"/>
      <w:numFmt w:val="bullet"/>
      <w:lvlText w:val=""/>
      <w:lvlJc w:val="left"/>
      <w:pPr>
        <w:ind w:left="540" w:hanging="360"/>
      </w:pPr>
      <w:rPr>
        <w:rFonts w:ascii="Symbol" w:hAnsi="Symbol" w:hint="default"/>
      </w:rPr>
    </w:lvl>
    <w:lvl w:ilvl="1" w:tplc="041C0003" w:tentative="1">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9" w15:restartNumberingAfterBreak="0">
    <w:nsid w:val="2B633A4B"/>
    <w:multiLevelType w:val="hybridMultilevel"/>
    <w:tmpl w:val="2E48F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D28E7"/>
    <w:multiLevelType w:val="hybridMultilevel"/>
    <w:tmpl w:val="C33A2D2C"/>
    <w:lvl w:ilvl="0" w:tplc="AD4848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E07F9"/>
    <w:multiLevelType w:val="hybridMultilevel"/>
    <w:tmpl w:val="76DAFD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B955379"/>
    <w:multiLevelType w:val="hybridMultilevel"/>
    <w:tmpl w:val="D4D8D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E65B85"/>
    <w:multiLevelType w:val="hybridMultilevel"/>
    <w:tmpl w:val="2EF61DC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511558D7"/>
    <w:multiLevelType w:val="hybridMultilevel"/>
    <w:tmpl w:val="8DB4B978"/>
    <w:lvl w:ilvl="0" w:tplc="0409000F">
      <w:start w:val="2"/>
      <w:numFmt w:val="decimal"/>
      <w:lvlText w:val="%1."/>
      <w:lvlJc w:val="left"/>
      <w:pPr>
        <w:ind w:left="360" w:hanging="360"/>
      </w:pPr>
      <w:rPr>
        <w:rFonts w:hint="default"/>
      </w:rPr>
    </w:lvl>
    <w:lvl w:ilvl="1" w:tplc="31E44874">
      <w:numFmt w:val="bullet"/>
      <w:lvlText w:val="•"/>
      <w:lvlJc w:val="left"/>
      <w:pPr>
        <w:ind w:left="1080" w:hanging="360"/>
      </w:pPr>
      <w:rPr>
        <w:rFonts w:ascii="Cambria" w:eastAsiaTheme="minorHAnsi" w:hAnsi="Cambria"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5A7CCE"/>
    <w:multiLevelType w:val="hybridMultilevel"/>
    <w:tmpl w:val="FAC0655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5EF05DD8"/>
    <w:multiLevelType w:val="multilevel"/>
    <w:tmpl w:val="E08E2E72"/>
    <w:lvl w:ilvl="0">
      <w:start w:val="1"/>
      <w:numFmt w:val="decimal"/>
      <w:lvlText w:val="%1."/>
      <w:lvlJc w:val="left"/>
      <w:pPr>
        <w:ind w:left="720" w:hanging="360"/>
      </w:pPr>
      <w:rPr>
        <w:rFonts w:ascii="Book Antiqua" w:eastAsiaTheme="minorHAnsi" w:hAnsi="Book Antiqua"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F382A1D"/>
    <w:multiLevelType w:val="hybridMultilevel"/>
    <w:tmpl w:val="B5A8A216"/>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841FC"/>
    <w:multiLevelType w:val="multilevel"/>
    <w:tmpl w:val="46A8ED5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A674606"/>
    <w:multiLevelType w:val="hybridMultilevel"/>
    <w:tmpl w:val="F3CA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E6F40"/>
    <w:multiLevelType w:val="multilevel"/>
    <w:tmpl w:val="6472E6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C451D"/>
    <w:multiLevelType w:val="multilevel"/>
    <w:tmpl w:val="5A5834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B51D8B"/>
    <w:multiLevelType w:val="multilevel"/>
    <w:tmpl w:val="4F36494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800622A"/>
    <w:multiLevelType w:val="multilevel"/>
    <w:tmpl w:val="B088EC9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C57067"/>
    <w:multiLevelType w:val="hybridMultilevel"/>
    <w:tmpl w:val="F2F662B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15:restartNumberingAfterBreak="0">
    <w:nsid w:val="78E00568"/>
    <w:multiLevelType w:val="hybridMultilevel"/>
    <w:tmpl w:val="E3D8730C"/>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26" w15:restartNumberingAfterBreak="0">
    <w:nsid w:val="78E24A61"/>
    <w:multiLevelType w:val="hybridMultilevel"/>
    <w:tmpl w:val="0F3CF80E"/>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num w:numId="1">
    <w:abstractNumId w:val="0"/>
  </w:num>
  <w:num w:numId="2">
    <w:abstractNumId w:val="10"/>
  </w:num>
  <w:num w:numId="3">
    <w:abstractNumId w:val="14"/>
  </w:num>
  <w:num w:numId="4">
    <w:abstractNumId w:val="2"/>
  </w:num>
  <w:num w:numId="5">
    <w:abstractNumId w:val="17"/>
  </w:num>
  <w:num w:numId="6">
    <w:abstractNumId w:val="3"/>
  </w:num>
  <w:num w:numId="7">
    <w:abstractNumId w:val="8"/>
  </w:num>
  <w:num w:numId="8">
    <w:abstractNumId w:val="24"/>
  </w:num>
  <w:num w:numId="9">
    <w:abstractNumId w:val="11"/>
  </w:num>
  <w:num w:numId="10">
    <w:abstractNumId w:val="19"/>
  </w:num>
  <w:num w:numId="11">
    <w:abstractNumId w:val="4"/>
  </w:num>
  <w:num w:numId="12">
    <w:abstractNumId w:val="23"/>
  </w:num>
  <w:num w:numId="13">
    <w:abstractNumId w:val="22"/>
  </w:num>
  <w:num w:numId="14">
    <w:abstractNumId w:val="7"/>
  </w:num>
  <w:num w:numId="15">
    <w:abstractNumId w:val="12"/>
  </w:num>
  <w:num w:numId="16">
    <w:abstractNumId w:val="26"/>
  </w:num>
  <w:num w:numId="17">
    <w:abstractNumId w:val="5"/>
  </w:num>
  <w:num w:numId="18">
    <w:abstractNumId w:val="6"/>
  </w:num>
  <w:num w:numId="19">
    <w:abstractNumId w:val="9"/>
  </w:num>
  <w:num w:numId="20">
    <w:abstractNumId w:val="16"/>
  </w:num>
  <w:num w:numId="21">
    <w:abstractNumId w:val="1"/>
  </w:num>
  <w:num w:numId="22">
    <w:abstractNumId w:val="25"/>
  </w:num>
  <w:num w:numId="23">
    <w:abstractNumId w:val="13"/>
  </w:num>
  <w:num w:numId="24">
    <w:abstractNumId w:val="20"/>
  </w:num>
  <w:num w:numId="25">
    <w:abstractNumId w:val="1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ED"/>
    <w:rsid w:val="00000DDA"/>
    <w:rsid w:val="0001254C"/>
    <w:rsid w:val="0001356E"/>
    <w:rsid w:val="00023F40"/>
    <w:rsid w:val="00035867"/>
    <w:rsid w:val="000513A3"/>
    <w:rsid w:val="000530BB"/>
    <w:rsid w:val="00055590"/>
    <w:rsid w:val="00055917"/>
    <w:rsid w:val="00063DEF"/>
    <w:rsid w:val="00086244"/>
    <w:rsid w:val="00087936"/>
    <w:rsid w:val="00096CF2"/>
    <w:rsid w:val="000B1DE4"/>
    <w:rsid w:val="000F7199"/>
    <w:rsid w:val="00105ADD"/>
    <w:rsid w:val="0010753C"/>
    <w:rsid w:val="001201DF"/>
    <w:rsid w:val="00151577"/>
    <w:rsid w:val="00164750"/>
    <w:rsid w:val="00165BAA"/>
    <w:rsid w:val="001709EA"/>
    <w:rsid w:val="001712D6"/>
    <w:rsid w:val="001A33B0"/>
    <w:rsid w:val="001A572B"/>
    <w:rsid w:val="001A7984"/>
    <w:rsid w:val="001B229E"/>
    <w:rsid w:val="001B75B7"/>
    <w:rsid w:val="001C6C44"/>
    <w:rsid w:val="001E0A72"/>
    <w:rsid w:val="0021320D"/>
    <w:rsid w:val="0021504A"/>
    <w:rsid w:val="00251BA5"/>
    <w:rsid w:val="00254079"/>
    <w:rsid w:val="0027136D"/>
    <w:rsid w:val="0028000F"/>
    <w:rsid w:val="0028291F"/>
    <w:rsid w:val="002936AF"/>
    <w:rsid w:val="002A4C8F"/>
    <w:rsid w:val="002D37EC"/>
    <w:rsid w:val="002E14A3"/>
    <w:rsid w:val="002E2B0C"/>
    <w:rsid w:val="002E4F17"/>
    <w:rsid w:val="002F77D4"/>
    <w:rsid w:val="0030578E"/>
    <w:rsid w:val="003116CE"/>
    <w:rsid w:val="0034613E"/>
    <w:rsid w:val="00347065"/>
    <w:rsid w:val="003568DF"/>
    <w:rsid w:val="00356DD7"/>
    <w:rsid w:val="003745B2"/>
    <w:rsid w:val="0038122F"/>
    <w:rsid w:val="003A3F85"/>
    <w:rsid w:val="003C403C"/>
    <w:rsid w:val="003E5C1A"/>
    <w:rsid w:val="003F57F9"/>
    <w:rsid w:val="003F6514"/>
    <w:rsid w:val="0040352B"/>
    <w:rsid w:val="00404964"/>
    <w:rsid w:val="00405178"/>
    <w:rsid w:val="00416040"/>
    <w:rsid w:val="00417300"/>
    <w:rsid w:val="00420CCF"/>
    <w:rsid w:val="00426F49"/>
    <w:rsid w:val="00445FC1"/>
    <w:rsid w:val="00455C5B"/>
    <w:rsid w:val="00471CCB"/>
    <w:rsid w:val="00490241"/>
    <w:rsid w:val="00491F12"/>
    <w:rsid w:val="004B765D"/>
    <w:rsid w:val="004C1E91"/>
    <w:rsid w:val="004C28BB"/>
    <w:rsid w:val="004C3E9B"/>
    <w:rsid w:val="004C7358"/>
    <w:rsid w:val="004D7273"/>
    <w:rsid w:val="004F10DF"/>
    <w:rsid w:val="0050453A"/>
    <w:rsid w:val="00526858"/>
    <w:rsid w:val="0053568C"/>
    <w:rsid w:val="005415BB"/>
    <w:rsid w:val="0055117A"/>
    <w:rsid w:val="0055434A"/>
    <w:rsid w:val="00556B31"/>
    <w:rsid w:val="00570559"/>
    <w:rsid w:val="0057699B"/>
    <w:rsid w:val="005834AF"/>
    <w:rsid w:val="00584B72"/>
    <w:rsid w:val="00587E0C"/>
    <w:rsid w:val="005A65F2"/>
    <w:rsid w:val="005B4973"/>
    <w:rsid w:val="005C7452"/>
    <w:rsid w:val="005D266E"/>
    <w:rsid w:val="005E6DED"/>
    <w:rsid w:val="0062092D"/>
    <w:rsid w:val="00622A96"/>
    <w:rsid w:val="0064309A"/>
    <w:rsid w:val="006717C5"/>
    <w:rsid w:val="00674565"/>
    <w:rsid w:val="00694B96"/>
    <w:rsid w:val="006B403D"/>
    <w:rsid w:val="006B5BD4"/>
    <w:rsid w:val="006C29BE"/>
    <w:rsid w:val="006C3017"/>
    <w:rsid w:val="006C3B5E"/>
    <w:rsid w:val="006F3848"/>
    <w:rsid w:val="006F7D3B"/>
    <w:rsid w:val="007333ED"/>
    <w:rsid w:val="00733A79"/>
    <w:rsid w:val="00735782"/>
    <w:rsid w:val="007514CD"/>
    <w:rsid w:val="0075631C"/>
    <w:rsid w:val="0078341E"/>
    <w:rsid w:val="007A0AB6"/>
    <w:rsid w:val="007C43EB"/>
    <w:rsid w:val="007D642C"/>
    <w:rsid w:val="007E2326"/>
    <w:rsid w:val="00825C43"/>
    <w:rsid w:val="008340FE"/>
    <w:rsid w:val="00835674"/>
    <w:rsid w:val="00837AE2"/>
    <w:rsid w:val="0084619A"/>
    <w:rsid w:val="008543E0"/>
    <w:rsid w:val="00855631"/>
    <w:rsid w:val="00860E8E"/>
    <w:rsid w:val="008612F0"/>
    <w:rsid w:val="00867F0C"/>
    <w:rsid w:val="008C38A8"/>
    <w:rsid w:val="008D52C8"/>
    <w:rsid w:val="008D652C"/>
    <w:rsid w:val="008E2ABC"/>
    <w:rsid w:val="008E5CD9"/>
    <w:rsid w:val="008F0E36"/>
    <w:rsid w:val="00916663"/>
    <w:rsid w:val="00950055"/>
    <w:rsid w:val="00950637"/>
    <w:rsid w:val="009579C3"/>
    <w:rsid w:val="009614B6"/>
    <w:rsid w:val="00975810"/>
    <w:rsid w:val="009766BC"/>
    <w:rsid w:val="009A1955"/>
    <w:rsid w:val="009A1F3D"/>
    <w:rsid w:val="009D23E0"/>
    <w:rsid w:val="009F50C9"/>
    <w:rsid w:val="009F75C4"/>
    <w:rsid w:val="00A05F78"/>
    <w:rsid w:val="00A06FE4"/>
    <w:rsid w:val="00A10534"/>
    <w:rsid w:val="00A31148"/>
    <w:rsid w:val="00A340DD"/>
    <w:rsid w:val="00A474ED"/>
    <w:rsid w:val="00A55971"/>
    <w:rsid w:val="00A61D28"/>
    <w:rsid w:val="00A934DF"/>
    <w:rsid w:val="00A96FD5"/>
    <w:rsid w:val="00AA4AD0"/>
    <w:rsid w:val="00AB23F3"/>
    <w:rsid w:val="00AB4126"/>
    <w:rsid w:val="00AD404A"/>
    <w:rsid w:val="00AD51B2"/>
    <w:rsid w:val="00AE1E80"/>
    <w:rsid w:val="00AE5954"/>
    <w:rsid w:val="00AF1E1E"/>
    <w:rsid w:val="00B034BD"/>
    <w:rsid w:val="00B03B46"/>
    <w:rsid w:val="00B24833"/>
    <w:rsid w:val="00B36F37"/>
    <w:rsid w:val="00B40FB5"/>
    <w:rsid w:val="00B649E1"/>
    <w:rsid w:val="00B800DA"/>
    <w:rsid w:val="00B82ABC"/>
    <w:rsid w:val="00B861D1"/>
    <w:rsid w:val="00B97908"/>
    <w:rsid w:val="00BB2BEA"/>
    <w:rsid w:val="00BB747F"/>
    <w:rsid w:val="00BC19F4"/>
    <w:rsid w:val="00C235C2"/>
    <w:rsid w:val="00C314F9"/>
    <w:rsid w:val="00C34457"/>
    <w:rsid w:val="00C46B90"/>
    <w:rsid w:val="00C56752"/>
    <w:rsid w:val="00C72F29"/>
    <w:rsid w:val="00C75A50"/>
    <w:rsid w:val="00C863F4"/>
    <w:rsid w:val="00CC4A99"/>
    <w:rsid w:val="00CC6C8A"/>
    <w:rsid w:val="00CD22AB"/>
    <w:rsid w:val="00CD7272"/>
    <w:rsid w:val="00CE20D1"/>
    <w:rsid w:val="00D20677"/>
    <w:rsid w:val="00D43AB8"/>
    <w:rsid w:val="00D52F16"/>
    <w:rsid w:val="00D63413"/>
    <w:rsid w:val="00D64DEB"/>
    <w:rsid w:val="00D804DE"/>
    <w:rsid w:val="00DB4074"/>
    <w:rsid w:val="00DB6FEA"/>
    <w:rsid w:val="00DF2E09"/>
    <w:rsid w:val="00DF77A8"/>
    <w:rsid w:val="00E03000"/>
    <w:rsid w:val="00E03883"/>
    <w:rsid w:val="00E03FAB"/>
    <w:rsid w:val="00E27D83"/>
    <w:rsid w:val="00E32AB0"/>
    <w:rsid w:val="00E36B53"/>
    <w:rsid w:val="00E4198C"/>
    <w:rsid w:val="00E617D8"/>
    <w:rsid w:val="00E6252A"/>
    <w:rsid w:val="00E6796F"/>
    <w:rsid w:val="00E71847"/>
    <w:rsid w:val="00E74276"/>
    <w:rsid w:val="00E83E9C"/>
    <w:rsid w:val="00EA25BB"/>
    <w:rsid w:val="00EC41A1"/>
    <w:rsid w:val="00EC615C"/>
    <w:rsid w:val="00EE1015"/>
    <w:rsid w:val="00EE6E1C"/>
    <w:rsid w:val="00EE7263"/>
    <w:rsid w:val="00EF13B5"/>
    <w:rsid w:val="00EF5A78"/>
    <w:rsid w:val="00F05F66"/>
    <w:rsid w:val="00F2058A"/>
    <w:rsid w:val="00F31E50"/>
    <w:rsid w:val="00F71547"/>
    <w:rsid w:val="00F87919"/>
    <w:rsid w:val="00F9587A"/>
    <w:rsid w:val="00FC13BF"/>
    <w:rsid w:val="00FC50C2"/>
    <w:rsid w:val="00FC6BA6"/>
    <w:rsid w:val="00FF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77850"/>
  <w15:docId w15:val="{239F3F29-DD35-468E-BE86-31C9B1EA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A96"/>
    <w:pPr>
      <w:spacing w:after="0" w:line="240" w:lineRule="auto"/>
    </w:pPr>
    <w:rPr>
      <w:rFonts w:ascii="Times New Roman" w:eastAsia="Times New Roman" w:hAnsi="Times New Roman" w:cs="Times New Roman"/>
      <w:sz w:val="24"/>
      <w:szCs w:val="24"/>
      <w:lang w:val="sq-AL" w:eastAsia="sr-Latn-CS"/>
    </w:rPr>
  </w:style>
  <w:style w:type="paragraph" w:styleId="Heading2">
    <w:name w:val="heading 2"/>
    <w:basedOn w:val="Normal"/>
    <w:next w:val="Normal"/>
    <w:link w:val="Heading2Char"/>
    <w:uiPriority w:val="9"/>
    <w:unhideWhenUsed/>
    <w:qFormat/>
    <w:rsid w:val="002936AF"/>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7D3B"/>
    <w:pPr>
      <w:spacing w:after="200" w:line="276" w:lineRule="auto"/>
      <w:ind w:left="720"/>
      <w:contextualSpacing/>
    </w:pPr>
    <w:rPr>
      <w:rFonts w:asciiTheme="minorHAnsi" w:eastAsiaTheme="minorHAnsi" w:hAnsiTheme="minorHAnsi" w:cstheme="minorBidi"/>
      <w:sz w:val="22"/>
      <w:szCs w:val="22"/>
      <w:lang w:val="sr-Latn-RS" w:eastAsia="en-US"/>
    </w:rPr>
  </w:style>
  <w:style w:type="table" w:styleId="TableGrid">
    <w:name w:val="Table Grid"/>
    <w:basedOn w:val="TableNormal"/>
    <w:uiPriority w:val="99"/>
    <w:rsid w:val="009A195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7358"/>
    <w:rPr>
      <w:rFonts w:asciiTheme="minorHAnsi" w:eastAsiaTheme="minorHAnsi" w:hAnsiTheme="minorHAnsi" w:cstheme="minorBidi"/>
      <w:sz w:val="20"/>
      <w:szCs w:val="20"/>
      <w:lang w:val="sr-Latn-RS" w:eastAsia="en-US"/>
    </w:rPr>
  </w:style>
  <w:style w:type="character" w:customStyle="1" w:styleId="FootnoteTextChar">
    <w:name w:val="Footnote Text Char"/>
    <w:basedOn w:val="DefaultParagraphFont"/>
    <w:link w:val="FootnoteText"/>
    <w:uiPriority w:val="99"/>
    <w:semiHidden/>
    <w:rsid w:val="004C7358"/>
    <w:rPr>
      <w:sz w:val="20"/>
      <w:szCs w:val="20"/>
    </w:rPr>
  </w:style>
  <w:style w:type="character" w:styleId="FootnoteReference">
    <w:name w:val="footnote reference"/>
    <w:basedOn w:val="DefaultParagraphFont"/>
    <w:uiPriority w:val="99"/>
    <w:semiHidden/>
    <w:unhideWhenUsed/>
    <w:rsid w:val="004C7358"/>
    <w:rPr>
      <w:vertAlign w:val="superscript"/>
    </w:rPr>
  </w:style>
  <w:style w:type="paragraph" w:styleId="CommentText">
    <w:name w:val="annotation text"/>
    <w:basedOn w:val="Normal"/>
    <w:link w:val="CommentTextChar"/>
    <w:uiPriority w:val="99"/>
    <w:unhideWhenUsed/>
    <w:rsid w:val="00035867"/>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035867"/>
    <w:rPr>
      <w:sz w:val="20"/>
      <w:szCs w:val="20"/>
      <w:lang w:val="sq-AL"/>
    </w:rPr>
  </w:style>
  <w:style w:type="character" w:styleId="Hyperlink">
    <w:name w:val="Hyperlink"/>
    <w:basedOn w:val="DefaultParagraphFont"/>
    <w:uiPriority w:val="99"/>
    <w:unhideWhenUsed/>
    <w:rsid w:val="006B403D"/>
    <w:rPr>
      <w:color w:val="0000FF" w:themeColor="hyperlink"/>
      <w:u w:val="single"/>
    </w:rPr>
  </w:style>
  <w:style w:type="paragraph" w:styleId="BalloonText">
    <w:name w:val="Balloon Text"/>
    <w:basedOn w:val="Normal"/>
    <w:link w:val="BalloonTextChar"/>
    <w:uiPriority w:val="99"/>
    <w:semiHidden/>
    <w:unhideWhenUsed/>
    <w:rsid w:val="00490241"/>
    <w:rPr>
      <w:rFonts w:ascii="Tahoma" w:eastAsiaTheme="minorHAnsi" w:hAnsi="Tahoma" w:cs="Tahoma"/>
      <w:sz w:val="16"/>
      <w:szCs w:val="16"/>
      <w:lang w:val="sr-Latn-RS" w:eastAsia="en-US"/>
    </w:rPr>
  </w:style>
  <w:style w:type="character" w:customStyle="1" w:styleId="BalloonTextChar">
    <w:name w:val="Balloon Text Char"/>
    <w:basedOn w:val="DefaultParagraphFont"/>
    <w:link w:val="BalloonText"/>
    <w:uiPriority w:val="99"/>
    <w:semiHidden/>
    <w:rsid w:val="00490241"/>
    <w:rPr>
      <w:rFonts w:ascii="Tahoma" w:hAnsi="Tahoma" w:cs="Tahoma"/>
      <w:sz w:val="16"/>
      <w:szCs w:val="16"/>
    </w:rPr>
  </w:style>
  <w:style w:type="character" w:styleId="CommentReference">
    <w:name w:val="annotation reference"/>
    <w:basedOn w:val="DefaultParagraphFont"/>
    <w:uiPriority w:val="99"/>
    <w:semiHidden/>
    <w:unhideWhenUsed/>
    <w:rsid w:val="00EC41A1"/>
    <w:rPr>
      <w:sz w:val="16"/>
      <w:szCs w:val="16"/>
    </w:rPr>
  </w:style>
  <w:style w:type="character" w:customStyle="1" w:styleId="Heading2Char">
    <w:name w:val="Heading 2 Char"/>
    <w:basedOn w:val="DefaultParagraphFont"/>
    <w:link w:val="Heading2"/>
    <w:uiPriority w:val="9"/>
    <w:rsid w:val="002936AF"/>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584B72"/>
    <w:rPr>
      <w:b/>
      <w:bCs/>
      <w:lang w:val="sr-Latn-RS"/>
    </w:rPr>
  </w:style>
  <w:style w:type="character" w:customStyle="1" w:styleId="CommentSubjectChar">
    <w:name w:val="Comment Subject Char"/>
    <w:basedOn w:val="CommentTextChar"/>
    <w:link w:val="CommentSubject"/>
    <w:uiPriority w:val="99"/>
    <w:semiHidden/>
    <w:rsid w:val="00584B72"/>
    <w:rPr>
      <w:b/>
      <w:bCs/>
      <w:sz w:val="20"/>
      <w:szCs w:val="20"/>
      <w:lang w:val="sr-Latn-RS"/>
    </w:rPr>
  </w:style>
  <w:style w:type="character" w:customStyle="1" w:styleId="ListParagraphChar">
    <w:name w:val="List Paragraph Char"/>
    <w:link w:val="ListParagraph"/>
    <w:uiPriority w:val="34"/>
    <w:locked/>
    <w:rsid w:val="00622A96"/>
    <w:rPr>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436325">
      <w:bodyDiv w:val="1"/>
      <w:marLeft w:val="0"/>
      <w:marRight w:val="0"/>
      <w:marTop w:val="0"/>
      <w:marBottom w:val="0"/>
      <w:divBdr>
        <w:top w:val="none" w:sz="0" w:space="0" w:color="auto"/>
        <w:left w:val="none" w:sz="0" w:space="0" w:color="auto"/>
        <w:bottom w:val="none" w:sz="0" w:space="0" w:color="auto"/>
        <w:right w:val="none" w:sz="0" w:space="0" w:color="auto"/>
      </w:divBdr>
    </w:div>
    <w:div w:id="1299333780">
      <w:bodyDiv w:val="1"/>
      <w:marLeft w:val="0"/>
      <w:marRight w:val="0"/>
      <w:marTop w:val="0"/>
      <w:marBottom w:val="0"/>
      <w:divBdr>
        <w:top w:val="none" w:sz="0" w:space="0" w:color="auto"/>
        <w:left w:val="none" w:sz="0" w:space="0" w:color="auto"/>
        <w:bottom w:val="none" w:sz="0" w:space="0" w:color="auto"/>
        <w:right w:val="none" w:sz="0" w:space="0" w:color="auto"/>
      </w:divBdr>
    </w:div>
    <w:div w:id="14565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E824-13E1-4E17-9D86-324A06E0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Qendresa</dc:creator>
  <cp:lastModifiedBy>Stanko Tasic</cp:lastModifiedBy>
  <cp:revision>121</cp:revision>
  <cp:lastPrinted>2025-10-28T11:45:00Z</cp:lastPrinted>
  <dcterms:created xsi:type="dcterms:W3CDTF">2025-10-28T12:26:00Z</dcterms:created>
  <dcterms:modified xsi:type="dcterms:W3CDTF">2025-10-28T13:00:00Z</dcterms:modified>
</cp:coreProperties>
</file>